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C05" w:rsidRPr="0048060F" w:rsidRDefault="00E70C05" w:rsidP="00AA21B6">
      <w:pPr>
        <w:jc w:val="center"/>
        <w:rPr>
          <w:b/>
          <w:sz w:val="28"/>
          <w:szCs w:val="28"/>
          <w:lang w:val="es-DO"/>
        </w:rPr>
      </w:pPr>
      <w:bookmarkStart w:id="0" w:name="_GoBack"/>
      <w:bookmarkEnd w:id="0"/>
      <w:r w:rsidRPr="0048060F">
        <w:rPr>
          <w:b/>
          <w:noProof/>
          <w:sz w:val="28"/>
          <w:szCs w:val="28"/>
          <w:lang w:val="es-DO" w:eastAsia="es-DO"/>
        </w:rPr>
        <w:drawing>
          <wp:anchor distT="0" distB="0" distL="114300" distR="114300" simplePos="0" relativeHeight="251659264" behindDoc="0" locked="0" layoutInCell="1" allowOverlap="1">
            <wp:simplePos x="0" y="0"/>
            <wp:positionH relativeFrom="margin">
              <wp:posOffset>-838835</wp:posOffset>
            </wp:positionH>
            <wp:positionV relativeFrom="paragraph">
              <wp:posOffset>-478790</wp:posOffset>
            </wp:positionV>
            <wp:extent cx="966470" cy="596265"/>
            <wp:effectExtent l="19050" t="0" r="5080" b="0"/>
            <wp:wrapSquare wrapText="bothSides"/>
            <wp:docPr id="2" name="Imagen 1" descr="C:\Users\Ogarcia\Desktop\INVI 2017\General\logo-invi-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Ogarcia\Desktop\INVI 2017\General\logo-invi-f.png"/>
                    <pic:cNvPicPr>
                      <a:picLocks noChangeAspect="1" noChangeArrowheads="1"/>
                    </pic:cNvPicPr>
                  </pic:nvPicPr>
                  <pic:blipFill>
                    <a:blip r:embed="rId5"/>
                    <a:srcRect/>
                    <a:stretch>
                      <a:fillRect/>
                    </a:stretch>
                  </pic:blipFill>
                  <pic:spPr bwMode="auto">
                    <a:xfrm>
                      <a:off x="0" y="0"/>
                      <a:ext cx="966470" cy="596265"/>
                    </a:xfrm>
                    <a:prstGeom prst="rect">
                      <a:avLst/>
                    </a:prstGeom>
                    <a:noFill/>
                    <a:ln w="9525">
                      <a:noFill/>
                      <a:miter lim="800000"/>
                      <a:headEnd/>
                      <a:tailEnd/>
                    </a:ln>
                  </pic:spPr>
                </pic:pic>
              </a:graphicData>
            </a:graphic>
          </wp:anchor>
        </w:drawing>
      </w:r>
      <w:r w:rsidRPr="0048060F">
        <w:rPr>
          <w:b/>
          <w:sz w:val="28"/>
          <w:szCs w:val="28"/>
          <w:lang w:val="es-DO"/>
        </w:rPr>
        <w:t>INSTITUTO NACIONAL DE LA VIVIENDA</w:t>
      </w:r>
    </w:p>
    <w:p w:rsidR="00E70C05" w:rsidRPr="0048060F" w:rsidRDefault="00575773" w:rsidP="00AA21B6">
      <w:pPr>
        <w:pStyle w:val="Ttulo2"/>
        <w:spacing w:before="0" w:after="0"/>
        <w:jc w:val="center"/>
        <w:rPr>
          <w:rFonts w:ascii="Times New Roman" w:hAnsi="Times New Roman"/>
          <w:b w:val="0"/>
          <w:i w:val="0"/>
          <w:sz w:val="28"/>
          <w:szCs w:val="28"/>
        </w:rPr>
      </w:pPr>
      <w:r w:rsidRPr="0048060F">
        <w:rPr>
          <w:rFonts w:ascii="Times New Roman" w:hAnsi="Times New Roman"/>
          <w:b w:val="0"/>
          <w:i w:val="0"/>
          <w:sz w:val="28"/>
          <w:szCs w:val="28"/>
        </w:rPr>
        <w:t>¨Año del Fomento a la</w:t>
      </w:r>
      <w:r w:rsidR="00AA21B6">
        <w:rPr>
          <w:rFonts w:ascii="Times New Roman" w:hAnsi="Times New Roman"/>
          <w:b w:val="0"/>
          <w:i w:val="0"/>
          <w:sz w:val="28"/>
          <w:szCs w:val="28"/>
        </w:rPr>
        <w:t>s</w:t>
      </w:r>
      <w:r w:rsidRPr="0048060F">
        <w:rPr>
          <w:rFonts w:ascii="Times New Roman" w:hAnsi="Times New Roman"/>
          <w:b w:val="0"/>
          <w:i w:val="0"/>
          <w:sz w:val="28"/>
          <w:szCs w:val="28"/>
        </w:rPr>
        <w:t xml:space="preserve"> Exportaciones</w:t>
      </w:r>
      <w:r w:rsidR="00E70C05" w:rsidRPr="0048060F">
        <w:rPr>
          <w:rFonts w:ascii="Times New Roman" w:hAnsi="Times New Roman"/>
          <w:b w:val="0"/>
          <w:i w:val="0"/>
          <w:sz w:val="28"/>
          <w:szCs w:val="28"/>
        </w:rPr>
        <w:t>¨</w:t>
      </w:r>
    </w:p>
    <w:p w:rsidR="004C6731" w:rsidRDefault="004C6731" w:rsidP="00AA21B6">
      <w:pPr>
        <w:jc w:val="center"/>
        <w:rPr>
          <w:b/>
          <w:sz w:val="22"/>
          <w:szCs w:val="22"/>
          <w:lang w:val="es-DO"/>
        </w:rPr>
      </w:pPr>
    </w:p>
    <w:p w:rsidR="004C6731" w:rsidRPr="0048060F" w:rsidRDefault="004C6731" w:rsidP="00AA21B6">
      <w:pPr>
        <w:jc w:val="center"/>
        <w:rPr>
          <w:b/>
          <w:sz w:val="24"/>
          <w:szCs w:val="24"/>
          <w:lang w:val="es-DO"/>
        </w:rPr>
      </w:pPr>
      <w:r w:rsidRPr="0048060F">
        <w:rPr>
          <w:b/>
          <w:sz w:val="24"/>
          <w:szCs w:val="24"/>
          <w:lang w:val="es-DO"/>
        </w:rPr>
        <w:t>DIRECCION DE PLANIFICACION Y DESARROLLO</w:t>
      </w:r>
    </w:p>
    <w:p w:rsidR="0036521B" w:rsidRPr="00E70C05" w:rsidRDefault="0036521B" w:rsidP="00AA21B6">
      <w:pPr>
        <w:pStyle w:val="Ttulo2"/>
        <w:spacing w:before="0" w:after="0"/>
        <w:jc w:val="center"/>
        <w:rPr>
          <w:rFonts w:ascii="Times New Roman" w:hAnsi="Times New Roman"/>
          <w:i w:val="0"/>
          <w:sz w:val="32"/>
          <w:szCs w:val="32"/>
        </w:rPr>
      </w:pPr>
    </w:p>
    <w:p w:rsidR="0036521B" w:rsidRPr="00575773" w:rsidRDefault="0036521B" w:rsidP="00AA21B6">
      <w:pPr>
        <w:jc w:val="center"/>
        <w:rPr>
          <w:b/>
          <w:sz w:val="28"/>
          <w:szCs w:val="28"/>
          <w:lang w:val="es-DO"/>
        </w:rPr>
      </w:pPr>
    </w:p>
    <w:p w:rsidR="0036521B" w:rsidRPr="00A201D4" w:rsidRDefault="0036521B" w:rsidP="00AA21B6">
      <w:pPr>
        <w:jc w:val="both"/>
        <w:rPr>
          <w:b/>
          <w:sz w:val="28"/>
          <w:szCs w:val="28"/>
          <w:lang w:val="es-ES"/>
        </w:rPr>
      </w:pPr>
    </w:p>
    <w:p w:rsidR="0036521B" w:rsidRDefault="0036521B" w:rsidP="00AA21B6">
      <w:pPr>
        <w:jc w:val="both"/>
        <w:rPr>
          <w:b/>
          <w:sz w:val="28"/>
          <w:szCs w:val="28"/>
          <w:lang w:val="es-ES"/>
        </w:rPr>
      </w:pPr>
    </w:p>
    <w:p w:rsidR="0036521B" w:rsidRDefault="0036521B" w:rsidP="0036521B">
      <w:pPr>
        <w:jc w:val="center"/>
        <w:rPr>
          <w:b/>
          <w:sz w:val="28"/>
          <w:szCs w:val="28"/>
          <w:lang w:val="es-ES"/>
        </w:rPr>
      </w:pPr>
    </w:p>
    <w:p w:rsidR="0036521B" w:rsidRDefault="0036521B" w:rsidP="0036521B">
      <w:pPr>
        <w:jc w:val="center"/>
        <w:rPr>
          <w:b/>
          <w:sz w:val="28"/>
          <w:szCs w:val="28"/>
          <w:lang w:val="es-ES"/>
        </w:rPr>
      </w:pPr>
    </w:p>
    <w:p w:rsidR="0036521B" w:rsidRDefault="0036521B" w:rsidP="0036521B">
      <w:pPr>
        <w:jc w:val="center"/>
        <w:rPr>
          <w:b/>
          <w:sz w:val="28"/>
          <w:szCs w:val="28"/>
          <w:lang w:val="es-ES"/>
        </w:rPr>
      </w:pPr>
    </w:p>
    <w:p w:rsidR="0036521B" w:rsidRPr="00A201D4" w:rsidRDefault="0036521B" w:rsidP="0036521B">
      <w:pPr>
        <w:jc w:val="center"/>
        <w:rPr>
          <w:b/>
          <w:sz w:val="28"/>
          <w:szCs w:val="28"/>
          <w:lang w:val="es-ES"/>
        </w:rPr>
      </w:pPr>
    </w:p>
    <w:p w:rsidR="0036521B" w:rsidRDefault="0036521B" w:rsidP="0036521B">
      <w:pPr>
        <w:jc w:val="center"/>
        <w:rPr>
          <w:b/>
          <w:sz w:val="32"/>
          <w:szCs w:val="32"/>
          <w:lang w:val="es-ES"/>
        </w:rPr>
      </w:pPr>
    </w:p>
    <w:p w:rsidR="0036521B" w:rsidRDefault="0036521B" w:rsidP="0036521B">
      <w:pPr>
        <w:jc w:val="center"/>
        <w:rPr>
          <w:b/>
          <w:sz w:val="32"/>
          <w:szCs w:val="32"/>
          <w:lang w:val="es-ES"/>
        </w:rPr>
      </w:pPr>
    </w:p>
    <w:p w:rsidR="0036521B" w:rsidRDefault="0036521B" w:rsidP="0036521B">
      <w:pPr>
        <w:rPr>
          <w:b/>
          <w:sz w:val="32"/>
          <w:szCs w:val="32"/>
          <w:lang w:val="es-ES"/>
        </w:rPr>
      </w:pPr>
    </w:p>
    <w:p w:rsidR="0036521B" w:rsidRPr="00575773" w:rsidRDefault="0036521B" w:rsidP="0036521B">
      <w:pPr>
        <w:jc w:val="center"/>
        <w:rPr>
          <w:b/>
          <w:sz w:val="28"/>
          <w:szCs w:val="28"/>
          <w:lang w:val="es-ES"/>
        </w:rPr>
      </w:pPr>
    </w:p>
    <w:p w:rsidR="0036521B" w:rsidRPr="00575773" w:rsidRDefault="00E70C05" w:rsidP="0036521B">
      <w:pPr>
        <w:pStyle w:val="Ttulo2"/>
        <w:spacing w:before="0" w:after="0"/>
        <w:jc w:val="center"/>
        <w:rPr>
          <w:rFonts w:ascii="Times New Roman" w:hAnsi="Times New Roman"/>
          <w:i w:val="0"/>
          <w:sz w:val="28"/>
          <w:szCs w:val="28"/>
        </w:rPr>
      </w:pPr>
      <w:r w:rsidRPr="00575773">
        <w:rPr>
          <w:rFonts w:ascii="Times New Roman" w:hAnsi="Times New Roman"/>
          <w:i w:val="0"/>
          <w:sz w:val="28"/>
          <w:szCs w:val="28"/>
        </w:rPr>
        <w:t>INFORME DE LOGROS Y SEGUIMIENTO DE LA PLANI</w:t>
      </w:r>
      <w:r w:rsidR="00575773" w:rsidRPr="00575773">
        <w:rPr>
          <w:rFonts w:ascii="Times New Roman" w:hAnsi="Times New Roman"/>
          <w:i w:val="0"/>
          <w:sz w:val="28"/>
          <w:szCs w:val="28"/>
        </w:rPr>
        <w:t xml:space="preserve">FICACION ESTRATEGICA ENERO – DICIEMBRE </w:t>
      </w:r>
      <w:r w:rsidRPr="00575773">
        <w:rPr>
          <w:rFonts w:ascii="Times New Roman" w:hAnsi="Times New Roman"/>
          <w:i w:val="0"/>
          <w:sz w:val="28"/>
          <w:szCs w:val="28"/>
        </w:rPr>
        <w:t xml:space="preserve"> 2017</w:t>
      </w:r>
    </w:p>
    <w:p w:rsidR="0036521B" w:rsidRPr="00575773" w:rsidRDefault="0036521B" w:rsidP="00E70C05">
      <w:pPr>
        <w:pStyle w:val="Ttulo2"/>
        <w:spacing w:before="0" w:after="0"/>
        <w:rPr>
          <w:rFonts w:ascii="Times New Roman" w:hAnsi="Times New Roman"/>
          <w:i w:val="0"/>
          <w:sz w:val="28"/>
          <w:szCs w:val="28"/>
        </w:rPr>
      </w:pPr>
    </w:p>
    <w:p w:rsidR="0036521B" w:rsidRPr="00DB72DA" w:rsidRDefault="0036521B" w:rsidP="00E70C05">
      <w:pPr>
        <w:rPr>
          <w:b/>
          <w:sz w:val="32"/>
          <w:szCs w:val="32"/>
          <w:lang w:val="es-DO"/>
        </w:rPr>
      </w:pPr>
    </w:p>
    <w:p w:rsidR="0036521B" w:rsidRDefault="0036521B" w:rsidP="0036521B">
      <w:pPr>
        <w:pStyle w:val="Textoindependiente2"/>
        <w:jc w:val="center"/>
        <w:rPr>
          <w:rFonts w:ascii="Times New Roman" w:hAnsi="Times New Roman"/>
          <w:sz w:val="20"/>
          <w:szCs w:val="20"/>
        </w:rPr>
      </w:pPr>
    </w:p>
    <w:p w:rsidR="0036521B" w:rsidRPr="00575773" w:rsidRDefault="0036521B" w:rsidP="0036521B">
      <w:pPr>
        <w:rPr>
          <w:lang w:val="es-MX"/>
        </w:rPr>
      </w:pPr>
    </w:p>
    <w:p w:rsidR="0036521B" w:rsidRDefault="0036521B" w:rsidP="0036521B">
      <w:pPr>
        <w:rPr>
          <w:lang w:val="es-ES"/>
        </w:rPr>
      </w:pPr>
    </w:p>
    <w:p w:rsidR="0036521B" w:rsidRDefault="0036521B" w:rsidP="0036521B">
      <w:pPr>
        <w:rPr>
          <w:lang w:val="es-ES"/>
        </w:rPr>
      </w:pPr>
    </w:p>
    <w:p w:rsidR="0036521B" w:rsidRDefault="0036521B" w:rsidP="0036521B">
      <w:pPr>
        <w:rPr>
          <w:lang w:val="es-ES"/>
        </w:rPr>
      </w:pPr>
    </w:p>
    <w:p w:rsidR="0036521B" w:rsidRDefault="0036521B" w:rsidP="0036521B">
      <w:pPr>
        <w:rPr>
          <w:lang w:val="es-ES"/>
        </w:rPr>
      </w:pPr>
    </w:p>
    <w:p w:rsidR="0036521B" w:rsidRDefault="0036521B" w:rsidP="0036521B">
      <w:pPr>
        <w:rPr>
          <w:lang w:val="es-ES"/>
        </w:rPr>
      </w:pPr>
    </w:p>
    <w:p w:rsidR="0036521B" w:rsidRDefault="0036521B" w:rsidP="0036521B">
      <w:pPr>
        <w:rPr>
          <w:lang w:val="es-ES"/>
        </w:rPr>
      </w:pPr>
    </w:p>
    <w:p w:rsidR="0036521B" w:rsidRDefault="0036521B" w:rsidP="0036521B">
      <w:pPr>
        <w:rPr>
          <w:lang w:val="es-ES"/>
        </w:rPr>
      </w:pPr>
    </w:p>
    <w:p w:rsidR="0036521B" w:rsidRDefault="0036521B" w:rsidP="0036521B">
      <w:pPr>
        <w:rPr>
          <w:lang w:val="es-ES"/>
        </w:rPr>
      </w:pPr>
    </w:p>
    <w:p w:rsidR="0036521B" w:rsidRDefault="0036521B" w:rsidP="0036521B">
      <w:pPr>
        <w:rPr>
          <w:lang w:val="es-ES"/>
        </w:rPr>
      </w:pPr>
    </w:p>
    <w:p w:rsidR="00E70C05" w:rsidRDefault="00E70C05" w:rsidP="0088442D">
      <w:pPr>
        <w:pStyle w:val="Prrafodelista"/>
        <w:ind w:left="0"/>
        <w:rPr>
          <w:rFonts w:ascii="Times New Roman" w:hAnsi="Times New Roman"/>
          <w:b/>
          <w:sz w:val="32"/>
          <w:szCs w:val="32"/>
        </w:rPr>
      </w:pPr>
    </w:p>
    <w:p w:rsidR="00E70C05" w:rsidRDefault="00E70C05" w:rsidP="00575773">
      <w:pPr>
        <w:pStyle w:val="Prrafodelista"/>
        <w:ind w:left="0"/>
        <w:jc w:val="center"/>
        <w:rPr>
          <w:rFonts w:ascii="Times New Roman" w:hAnsi="Times New Roman"/>
          <w:b/>
          <w:sz w:val="32"/>
          <w:szCs w:val="32"/>
        </w:rPr>
      </w:pPr>
    </w:p>
    <w:p w:rsidR="00E70C05" w:rsidRPr="0086117D" w:rsidRDefault="00575773" w:rsidP="00575773">
      <w:pPr>
        <w:pStyle w:val="Prrafodelista"/>
        <w:ind w:left="0"/>
        <w:jc w:val="center"/>
        <w:rPr>
          <w:rFonts w:ascii="Times New Roman" w:hAnsi="Times New Roman"/>
          <w:sz w:val="24"/>
          <w:szCs w:val="24"/>
        </w:rPr>
      </w:pPr>
      <w:r>
        <w:rPr>
          <w:rFonts w:ascii="Times New Roman" w:hAnsi="Times New Roman"/>
          <w:sz w:val="24"/>
          <w:szCs w:val="24"/>
        </w:rPr>
        <w:t>MARZO -2018</w:t>
      </w:r>
    </w:p>
    <w:p w:rsidR="000F7A31" w:rsidRDefault="000F7A31" w:rsidP="00BD01AA">
      <w:pPr>
        <w:pStyle w:val="Ttulo2"/>
        <w:spacing w:before="0" w:after="0"/>
        <w:rPr>
          <w:rFonts w:ascii="Times New Roman" w:hAnsi="Times New Roman"/>
          <w:i w:val="0"/>
          <w:sz w:val="28"/>
          <w:szCs w:val="28"/>
        </w:rPr>
      </w:pPr>
    </w:p>
    <w:p w:rsidR="000F7A31" w:rsidRDefault="000F7A31" w:rsidP="00BD01AA">
      <w:pPr>
        <w:pStyle w:val="Ttulo2"/>
        <w:spacing w:before="0" w:after="0"/>
        <w:rPr>
          <w:rFonts w:ascii="Times New Roman" w:hAnsi="Times New Roman"/>
          <w:i w:val="0"/>
          <w:sz w:val="28"/>
          <w:szCs w:val="28"/>
        </w:rPr>
      </w:pPr>
    </w:p>
    <w:p w:rsidR="000F7A31" w:rsidRDefault="000F7A31" w:rsidP="00BD01AA">
      <w:pPr>
        <w:pStyle w:val="Ttulo2"/>
        <w:spacing w:before="0" w:after="0"/>
        <w:rPr>
          <w:rFonts w:ascii="Times New Roman" w:hAnsi="Times New Roman"/>
          <w:b w:val="0"/>
          <w:bCs w:val="0"/>
          <w:i w:val="0"/>
          <w:iCs w:val="0"/>
          <w:sz w:val="20"/>
          <w:szCs w:val="20"/>
        </w:rPr>
      </w:pPr>
    </w:p>
    <w:p w:rsidR="000F7A31" w:rsidRPr="000F7A31" w:rsidRDefault="000F7A31" w:rsidP="000F7A31">
      <w:pPr>
        <w:rPr>
          <w:lang w:val="es-DO"/>
        </w:rPr>
      </w:pPr>
    </w:p>
    <w:p w:rsidR="000F7A31" w:rsidRDefault="000F7A31" w:rsidP="00BD01AA">
      <w:pPr>
        <w:pStyle w:val="Ttulo2"/>
        <w:spacing w:before="0" w:after="0"/>
        <w:rPr>
          <w:rFonts w:ascii="Times New Roman" w:hAnsi="Times New Roman"/>
          <w:i w:val="0"/>
        </w:rPr>
      </w:pPr>
    </w:p>
    <w:p w:rsidR="00FC4A89" w:rsidRPr="000F7A31" w:rsidRDefault="00F778E2" w:rsidP="00F778E2">
      <w:pPr>
        <w:pStyle w:val="Ttulo2"/>
        <w:spacing w:before="0" w:after="0"/>
        <w:rPr>
          <w:rFonts w:ascii="Times New Roman" w:hAnsi="Times New Roman"/>
        </w:rPr>
      </w:pPr>
      <w:r>
        <w:rPr>
          <w:rFonts w:ascii="Times New Roman" w:hAnsi="Times New Roman"/>
          <w:i w:val="0"/>
        </w:rPr>
        <w:t xml:space="preserve">I- </w:t>
      </w:r>
      <w:r w:rsidR="00FC4A89" w:rsidRPr="000F7A31">
        <w:rPr>
          <w:rFonts w:ascii="Times New Roman" w:hAnsi="Times New Roman"/>
          <w:i w:val="0"/>
        </w:rPr>
        <w:t xml:space="preserve">INFORME DE LOGROS Y SEGUIMIENTO DE LA PLANIFICACION ESTRATEGICA ENERO - </w:t>
      </w:r>
      <w:r w:rsidR="00575773" w:rsidRPr="000F7A31">
        <w:rPr>
          <w:rFonts w:ascii="Times New Roman" w:hAnsi="Times New Roman"/>
          <w:i w:val="0"/>
        </w:rPr>
        <w:t>DICIEMBRE</w:t>
      </w:r>
      <w:r w:rsidR="00FC4A89" w:rsidRPr="000F7A31">
        <w:rPr>
          <w:rFonts w:ascii="Times New Roman" w:hAnsi="Times New Roman"/>
          <w:i w:val="0"/>
        </w:rPr>
        <w:t xml:space="preserve"> 2017</w:t>
      </w:r>
      <w:r w:rsidR="00CC09D9" w:rsidRPr="000F7A31">
        <w:rPr>
          <w:rFonts w:ascii="Times New Roman" w:hAnsi="Times New Roman"/>
        </w:rPr>
        <w:t xml:space="preserve"> </w:t>
      </w:r>
    </w:p>
    <w:p w:rsidR="00FC4A89" w:rsidRPr="000F7A31" w:rsidRDefault="00FC4A89" w:rsidP="00FC4A89">
      <w:pPr>
        <w:pStyle w:val="Ttulo2"/>
        <w:spacing w:before="0" w:after="0"/>
        <w:jc w:val="center"/>
        <w:rPr>
          <w:rFonts w:ascii="Times New Roman" w:hAnsi="Times New Roman"/>
        </w:rPr>
      </w:pPr>
    </w:p>
    <w:p w:rsidR="000F7A31" w:rsidRPr="000F7A31" w:rsidRDefault="000F7A31" w:rsidP="000F7A31">
      <w:pPr>
        <w:rPr>
          <w:b/>
          <w:sz w:val="24"/>
          <w:szCs w:val="24"/>
          <w:lang w:val="es-ES"/>
        </w:rPr>
      </w:pPr>
    </w:p>
    <w:p w:rsidR="000F7A31" w:rsidRPr="008463CD" w:rsidRDefault="000F7A31" w:rsidP="000F7A31">
      <w:pPr>
        <w:spacing w:line="480" w:lineRule="auto"/>
        <w:jc w:val="both"/>
        <w:rPr>
          <w:sz w:val="24"/>
          <w:szCs w:val="24"/>
          <w:lang w:val="es-DO"/>
        </w:rPr>
      </w:pPr>
      <w:r w:rsidRPr="008463CD">
        <w:rPr>
          <w:sz w:val="24"/>
          <w:szCs w:val="24"/>
          <w:lang w:val="es-DO"/>
        </w:rPr>
        <w:t>La planificación estratégica del Instituto Nacional de la Vivie</w:t>
      </w:r>
      <w:r w:rsidR="0048060F">
        <w:rPr>
          <w:sz w:val="24"/>
          <w:szCs w:val="24"/>
          <w:lang w:val="es-DO"/>
        </w:rPr>
        <w:t>nda (INVI),</w:t>
      </w:r>
      <w:r w:rsidR="0048060F" w:rsidRPr="0048060F">
        <w:rPr>
          <w:sz w:val="24"/>
          <w:szCs w:val="24"/>
          <w:lang w:val="es-DO"/>
        </w:rPr>
        <w:t xml:space="preserve"> </w:t>
      </w:r>
      <w:r w:rsidR="0048060F" w:rsidRPr="008463CD">
        <w:rPr>
          <w:sz w:val="24"/>
          <w:szCs w:val="24"/>
          <w:lang w:val="es-DO"/>
        </w:rPr>
        <w:t xml:space="preserve">durante el año 2017 </w:t>
      </w:r>
      <w:r w:rsidR="0048060F">
        <w:rPr>
          <w:sz w:val="24"/>
          <w:szCs w:val="24"/>
          <w:lang w:val="es-DO"/>
        </w:rPr>
        <w:t xml:space="preserve"> estuvo enfocada</w:t>
      </w:r>
      <w:r w:rsidR="00F522F7" w:rsidRPr="008463CD">
        <w:rPr>
          <w:sz w:val="24"/>
          <w:szCs w:val="24"/>
          <w:lang w:val="es-DO"/>
        </w:rPr>
        <w:t xml:space="preserve"> </w:t>
      </w:r>
      <w:r w:rsidRPr="008463CD">
        <w:rPr>
          <w:sz w:val="24"/>
          <w:szCs w:val="24"/>
          <w:lang w:val="es-DO"/>
        </w:rPr>
        <w:t>en</w:t>
      </w:r>
      <w:r w:rsidRPr="008463CD">
        <w:rPr>
          <w:b/>
          <w:sz w:val="24"/>
          <w:szCs w:val="24"/>
          <w:lang w:val="es-DO"/>
        </w:rPr>
        <w:t xml:space="preserve"> 4 Ejes: Producción de Viviendas Dignas</w:t>
      </w:r>
      <w:r w:rsidR="0048060F">
        <w:rPr>
          <w:b/>
          <w:sz w:val="24"/>
          <w:szCs w:val="24"/>
          <w:lang w:val="es-DO"/>
        </w:rPr>
        <w:t>,</w:t>
      </w:r>
      <w:r w:rsidRPr="008463CD">
        <w:rPr>
          <w:sz w:val="24"/>
          <w:szCs w:val="24"/>
          <w:lang w:val="es-DO"/>
        </w:rPr>
        <w:t xml:space="preserve"> que incluye: Construcción de Viviendas Nuevas, Mejoramiento y/o Reconstrucción de Viviendas por Componentes y las Metas Presidenciales contenidas en el Programa de Gobierno del Presidente Lic. Danilo Medina 2016-2020, la Estrategia Nacional de Desarrollo (END) que han servido de norte para el quehacer institucional. </w:t>
      </w:r>
      <w:r w:rsidRPr="008463CD">
        <w:rPr>
          <w:b/>
          <w:sz w:val="24"/>
          <w:szCs w:val="24"/>
          <w:lang w:val="es-DO"/>
        </w:rPr>
        <w:t>Eje: Programa de Titulación de Viviendas Construidas en Terrenos del Estado, Eje: Fortalecimiento Institucional y Sectorial</w:t>
      </w:r>
      <w:r w:rsidRPr="008463CD">
        <w:rPr>
          <w:sz w:val="24"/>
          <w:szCs w:val="24"/>
          <w:lang w:val="es-DO"/>
        </w:rPr>
        <w:t xml:space="preserve">, así como el </w:t>
      </w:r>
      <w:r w:rsidRPr="008463CD">
        <w:rPr>
          <w:b/>
          <w:sz w:val="24"/>
          <w:szCs w:val="24"/>
          <w:lang w:val="es-DO"/>
        </w:rPr>
        <w:t>Eje: Ética, Transparencia y Rendición de Cuentas.</w:t>
      </w:r>
    </w:p>
    <w:p w:rsidR="000F7A31" w:rsidRPr="008463CD" w:rsidRDefault="000F7A31" w:rsidP="000F7A31">
      <w:pPr>
        <w:spacing w:line="480" w:lineRule="auto"/>
        <w:jc w:val="both"/>
        <w:rPr>
          <w:sz w:val="24"/>
          <w:szCs w:val="24"/>
          <w:lang w:val="es-DO"/>
        </w:rPr>
      </w:pPr>
      <w:r w:rsidRPr="008463CD">
        <w:rPr>
          <w:sz w:val="24"/>
          <w:szCs w:val="24"/>
          <w:lang w:val="es-DO"/>
        </w:rPr>
        <w:t>Dentro de los principales logros y realizaciones del INVI que ya están beneficiando a lo</w:t>
      </w:r>
      <w:r w:rsidR="00AA21B6">
        <w:rPr>
          <w:sz w:val="24"/>
          <w:szCs w:val="24"/>
          <w:lang w:val="es-DO"/>
        </w:rPr>
        <w:t>s ciudadanos/ciudadanas citamos</w:t>
      </w:r>
      <w:r w:rsidRPr="008463CD">
        <w:rPr>
          <w:sz w:val="24"/>
          <w:szCs w:val="24"/>
          <w:lang w:val="es-DO"/>
        </w:rPr>
        <w:t xml:space="preserve"> la construcción de </w:t>
      </w:r>
      <w:r w:rsidRPr="008463CD">
        <w:rPr>
          <w:b/>
          <w:sz w:val="24"/>
          <w:szCs w:val="24"/>
          <w:lang w:val="es-DO"/>
        </w:rPr>
        <w:t>2,864</w:t>
      </w:r>
      <w:r w:rsidRPr="008463CD">
        <w:rPr>
          <w:sz w:val="24"/>
          <w:szCs w:val="24"/>
          <w:lang w:val="es-DO"/>
        </w:rPr>
        <w:t xml:space="preserve"> viviendas nuevas con diferentes características y el avance en la ejecución de </w:t>
      </w:r>
      <w:r w:rsidRPr="008463CD">
        <w:rPr>
          <w:b/>
          <w:sz w:val="24"/>
          <w:szCs w:val="24"/>
          <w:lang w:val="es-DO"/>
        </w:rPr>
        <w:t>1,172</w:t>
      </w:r>
      <w:r w:rsidRPr="008463CD">
        <w:rPr>
          <w:sz w:val="24"/>
          <w:szCs w:val="24"/>
          <w:lang w:val="es-DO"/>
        </w:rPr>
        <w:t xml:space="preserve"> viviendas para un total de </w:t>
      </w:r>
      <w:r w:rsidRPr="008463CD">
        <w:rPr>
          <w:b/>
          <w:sz w:val="24"/>
          <w:szCs w:val="24"/>
          <w:lang w:val="es-DO"/>
        </w:rPr>
        <w:t>4,036</w:t>
      </w:r>
      <w:r w:rsidRPr="008463CD">
        <w:rPr>
          <w:sz w:val="24"/>
          <w:szCs w:val="24"/>
          <w:lang w:val="es-DO"/>
        </w:rPr>
        <w:t xml:space="preserve"> viviendas, dirigidas en su mayoría</w:t>
      </w:r>
      <w:r w:rsidR="00AA21B6">
        <w:rPr>
          <w:sz w:val="24"/>
          <w:szCs w:val="24"/>
          <w:lang w:val="es-DO"/>
        </w:rPr>
        <w:t xml:space="preserve"> a </w:t>
      </w:r>
      <w:r w:rsidRPr="008463CD">
        <w:rPr>
          <w:sz w:val="24"/>
          <w:szCs w:val="24"/>
          <w:lang w:val="es-DO"/>
        </w:rPr>
        <w:t xml:space="preserve"> familias que perdieron sus hogares por las inundaciones causadas por el paso de fenómenos naturales que impactaron al país. </w:t>
      </w:r>
    </w:p>
    <w:p w:rsidR="000F7A31" w:rsidRPr="008463CD" w:rsidRDefault="000F7A31" w:rsidP="000F7A31">
      <w:pPr>
        <w:spacing w:line="480" w:lineRule="auto"/>
        <w:jc w:val="both"/>
        <w:rPr>
          <w:sz w:val="24"/>
          <w:szCs w:val="24"/>
          <w:lang w:val="es-DO"/>
        </w:rPr>
      </w:pPr>
      <w:r w:rsidRPr="008463CD">
        <w:rPr>
          <w:sz w:val="24"/>
          <w:szCs w:val="24"/>
          <w:lang w:val="es-DO"/>
        </w:rPr>
        <w:t xml:space="preserve">Otra ejecución importante, correspondió al Programa de Mejoramiento y/o Reconstrucción de Viviendas por Componentes (techo, pared), mediante el cual fueron reparadas </w:t>
      </w:r>
      <w:r w:rsidRPr="008463CD">
        <w:rPr>
          <w:b/>
          <w:sz w:val="24"/>
          <w:szCs w:val="24"/>
          <w:lang w:val="es-DO"/>
        </w:rPr>
        <w:t xml:space="preserve">2,050 </w:t>
      </w:r>
      <w:r w:rsidRPr="008463CD">
        <w:rPr>
          <w:sz w:val="24"/>
          <w:szCs w:val="24"/>
          <w:lang w:val="es-DO"/>
        </w:rPr>
        <w:t xml:space="preserve">viviendas para beneficiar a igual número de familias, que también fueron afectadas por los eventos naturales en 20 provincias. De igual manera se ejecutó el Programa Cambio de Piso de Tierra por Piso de Cemento, donde fueron beneficiadas </w:t>
      </w:r>
      <w:r w:rsidRPr="008463CD">
        <w:rPr>
          <w:b/>
          <w:sz w:val="24"/>
          <w:szCs w:val="24"/>
          <w:lang w:val="es-DO"/>
        </w:rPr>
        <w:t xml:space="preserve">2,182 </w:t>
      </w:r>
      <w:r w:rsidRPr="008463CD">
        <w:rPr>
          <w:sz w:val="24"/>
          <w:szCs w:val="24"/>
          <w:lang w:val="es-DO"/>
        </w:rPr>
        <w:t xml:space="preserve">familias de ingresos mínimos distribuidos en 24 provincias. También un aporte relevante dentro del mejoramiento de viviendas fue la instalación de </w:t>
      </w:r>
      <w:r w:rsidRPr="008463CD">
        <w:rPr>
          <w:b/>
          <w:sz w:val="24"/>
          <w:szCs w:val="24"/>
          <w:lang w:val="es-DO"/>
        </w:rPr>
        <w:t xml:space="preserve">1,192 </w:t>
      </w:r>
      <w:r w:rsidRPr="008463CD">
        <w:rPr>
          <w:sz w:val="24"/>
          <w:szCs w:val="24"/>
          <w:lang w:val="es-DO"/>
        </w:rPr>
        <w:t>unidades de servicios sanitarios para igual número de familias, cuyas viviendas no disponían de este servicio</w:t>
      </w:r>
      <w:r w:rsidR="00AA21B6">
        <w:rPr>
          <w:sz w:val="24"/>
          <w:szCs w:val="24"/>
          <w:lang w:val="es-DO"/>
        </w:rPr>
        <w:t xml:space="preserve"> básico</w:t>
      </w:r>
      <w:r w:rsidRPr="008463CD">
        <w:rPr>
          <w:sz w:val="24"/>
          <w:szCs w:val="24"/>
          <w:lang w:val="es-DO"/>
        </w:rPr>
        <w:t xml:space="preserve"> en 14 </w:t>
      </w:r>
      <w:r w:rsidRPr="008463CD">
        <w:rPr>
          <w:sz w:val="24"/>
          <w:szCs w:val="24"/>
          <w:lang w:val="es-DO"/>
        </w:rPr>
        <w:lastRenderedPageBreak/>
        <w:t>provincias</w:t>
      </w:r>
      <w:r w:rsidRPr="008463CD">
        <w:rPr>
          <w:b/>
          <w:sz w:val="24"/>
          <w:szCs w:val="24"/>
          <w:lang w:val="es-DO"/>
        </w:rPr>
        <w:t xml:space="preserve">. </w:t>
      </w:r>
      <w:r w:rsidR="00AA21B6">
        <w:rPr>
          <w:sz w:val="24"/>
          <w:szCs w:val="24"/>
          <w:lang w:val="es-DO"/>
        </w:rPr>
        <w:t>En ese</w:t>
      </w:r>
      <w:r w:rsidRPr="008463CD">
        <w:rPr>
          <w:sz w:val="24"/>
          <w:szCs w:val="24"/>
          <w:lang w:val="es-DO"/>
        </w:rPr>
        <w:t xml:space="preserve"> mismo orden se inició dentro del Programa de mejoramiento de viviendas la Sustitución de Carbón y Leña por Estufas y Gas donde 100 familias necesitadas fueron beneficiadas a final del año. Estas ejecuciones son parte del cumplimiento de las Metas Pr</w:t>
      </w:r>
      <w:r w:rsidR="00136E47">
        <w:rPr>
          <w:sz w:val="24"/>
          <w:szCs w:val="24"/>
          <w:lang w:val="es-DO"/>
        </w:rPr>
        <w:t>esidenciales las cuales presentan</w:t>
      </w:r>
      <w:r w:rsidRPr="008463CD">
        <w:rPr>
          <w:sz w:val="24"/>
          <w:szCs w:val="24"/>
          <w:lang w:val="es-DO"/>
        </w:rPr>
        <w:t xml:space="preserve"> un total acumulado de </w:t>
      </w:r>
      <w:r w:rsidRPr="008463CD">
        <w:rPr>
          <w:b/>
          <w:sz w:val="24"/>
          <w:szCs w:val="24"/>
          <w:lang w:val="es-DO"/>
        </w:rPr>
        <w:t>6,491</w:t>
      </w:r>
      <w:r w:rsidRPr="008463CD">
        <w:rPr>
          <w:sz w:val="24"/>
          <w:szCs w:val="24"/>
          <w:lang w:val="es-DO"/>
        </w:rPr>
        <w:t xml:space="preserve"> viviendas intervenidas, beneficiando directamente a </w:t>
      </w:r>
      <w:r w:rsidRPr="008463CD">
        <w:rPr>
          <w:b/>
          <w:sz w:val="24"/>
          <w:szCs w:val="24"/>
          <w:lang w:val="es-DO"/>
        </w:rPr>
        <w:t>21,420</w:t>
      </w:r>
      <w:r w:rsidR="00136E47">
        <w:rPr>
          <w:sz w:val="24"/>
          <w:szCs w:val="24"/>
          <w:lang w:val="es-DO"/>
        </w:rPr>
        <w:t xml:space="preserve"> personas. Igualmente se realizó</w:t>
      </w:r>
      <w:r w:rsidRPr="008463CD">
        <w:rPr>
          <w:sz w:val="24"/>
          <w:szCs w:val="24"/>
          <w:lang w:val="es-DO"/>
        </w:rPr>
        <w:t xml:space="preserve"> la sustitución en </w:t>
      </w:r>
      <w:r w:rsidRPr="008463CD">
        <w:rPr>
          <w:b/>
          <w:sz w:val="24"/>
          <w:szCs w:val="24"/>
          <w:lang w:val="es-DO"/>
        </w:rPr>
        <w:t>100</w:t>
      </w:r>
      <w:r w:rsidRPr="008463CD">
        <w:rPr>
          <w:sz w:val="24"/>
          <w:szCs w:val="24"/>
          <w:lang w:val="es-DO"/>
        </w:rPr>
        <w:t xml:space="preserve"> hogares del uso de leña y carbón</w:t>
      </w:r>
      <w:r w:rsidR="00136E47">
        <w:rPr>
          <w:sz w:val="24"/>
          <w:szCs w:val="24"/>
          <w:lang w:val="es-DO"/>
        </w:rPr>
        <w:t xml:space="preserve"> como combustible para cocinar </w:t>
      </w:r>
      <w:r w:rsidRPr="008463CD">
        <w:rPr>
          <w:sz w:val="24"/>
          <w:szCs w:val="24"/>
          <w:lang w:val="es-DO"/>
        </w:rPr>
        <w:t xml:space="preserve"> por estufas y gas.  Así también dentro del mejoramiento fueron pintadas </w:t>
      </w:r>
      <w:r w:rsidRPr="008463CD">
        <w:rPr>
          <w:b/>
          <w:sz w:val="24"/>
          <w:szCs w:val="24"/>
          <w:lang w:val="es-DO"/>
        </w:rPr>
        <w:t xml:space="preserve">4,771 </w:t>
      </w:r>
      <w:r w:rsidRPr="008463CD">
        <w:rPr>
          <w:sz w:val="24"/>
          <w:szCs w:val="24"/>
          <w:lang w:val="es-DO"/>
        </w:rPr>
        <w:t xml:space="preserve">viviendas beneficiando a familias de escasos recursos económicos residentes en más de 24 provincias. </w:t>
      </w:r>
    </w:p>
    <w:p w:rsidR="000F7A31" w:rsidRPr="008463CD" w:rsidRDefault="000F7A31" w:rsidP="000F7A31">
      <w:pPr>
        <w:spacing w:line="480" w:lineRule="auto"/>
        <w:jc w:val="both"/>
        <w:rPr>
          <w:sz w:val="24"/>
          <w:szCs w:val="24"/>
          <w:lang w:val="es-DO"/>
        </w:rPr>
      </w:pPr>
      <w:r w:rsidRPr="008463CD">
        <w:rPr>
          <w:sz w:val="24"/>
          <w:szCs w:val="24"/>
          <w:lang w:val="es-DO"/>
        </w:rPr>
        <w:t xml:space="preserve">En total las viviendas intervenidas fueron </w:t>
      </w:r>
      <w:r w:rsidRPr="008463CD">
        <w:rPr>
          <w:b/>
          <w:sz w:val="24"/>
          <w:szCs w:val="24"/>
          <w:lang w:val="es-DO"/>
        </w:rPr>
        <w:t xml:space="preserve">14,331 </w:t>
      </w:r>
      <w:r w:rsidRPr="008463CD">
        <w:rPr>
          <w:sz w:val="24"/>
          <w:szCs w:val="24"/>
          <w:lang w:val="es-DO"/>
        </w:rPr>
        <w:t xml:space="preserve">beneficiando directamente a </w:t>
      </w:r>
      <w:r w:rsidRPr="008463CD">
        <w:rPr>
          <w:b/>
          <w:sz w:val="24"/>
          <w:szCs w:val="24"/>
          <w:lang w:val="es-DO"/>
        </w:rPr>
        <w:t>47,292</w:t>
      </w:r>
      <w:r w:rsidRPr="008463CD">
        <w:rPr>
          <w:sz w:val="24"/>
          <w:szCs w:val="24"/>
          <w:lang w:val="es-DO"/>
        </w:rPr>
        <w:t xml:space="preserve"> personas, con una inversión general de </w:t>
      </w:r>
      <w:r w:rsidRPr="008463CD">
        <w:rPr>
          <w:b/>
          <w:sz w:val="24"/>
          <w:szCs w:val="24"/>
          <w:lang w:val="es-DO"/>
        </w:rPr>
        <w:t>RD$665</w:t>
      </w:r>
      <w:proofErr w:type="gramStart"/>
      <w:r w:rsidRPr="008463CD">
        <w:rPr>
          <w:b/>
          <w:sz w:val="24"/>
          <w:szCs w:val="24"/>
          <w:lang w:val="es-DO"/>
        </w:rPr>
        <w:t>,745,370.00</w:t>
      </w:r>
      <w:proofErr w:type="gramEnd"/>
      <w:r w:rsidRPr="008463CD">
        <w:rPr>
          <w:b/>
          <w:sz w:val="24"/>
          <w:szCs w:val="24"/>
          <w:lang w:val="es-DO"/>
        </w:rPr>
        <w:t xml:space="preserve">, </w:t>
      </w:r>
      <w:r w:rsidRPr="008463CD">
        <w:rPr>
          <w:sz w:val="24"/>
          <w:szCs w:val="24"/>
          <w:lang w:val="es-DO"/>
        </w:rPr>
        <w:t xml:space="preserve">de este total ejecutado </w:t>
      </w:r>
      <w:r w:rsidRPr="008463CD">
        <w:rPr>
          <w:b/>
          <w:sz w:val="24"/>
          <w:szCs w:val="24"/>
          <w:lang w:val="es-DO"/>
        </w:rPr>
        <w:t xml:space="preserve">RD$482,143,197 </w:t>
      </w:r>
      <w:r w:rsidRPr="008463CD">
        <w:rPr>
          <w:sz w:val="24"/>
          <w:szCs w:val="24"/>
          <w:lang w:val="es-DO"/>
        </w:rPr>
        <w:t>fueron invertidos en el Plan de Emergencia.</w:t>
      </w:r>
    </w:p>
    <w:p w:rsidR="00F778E2" w:rsidRPr="00F778E2" w:rsidRDefault="00F778E2" w:rsidP="00F778E2">
      <w:pPr>
        <w:pStyle w:val="Textoindependiente"/>
        <w:spacing w:line="480" w:lineRule="auto"/>
        <w:contextualSpacing/>
        <w:rPr>
          <w:rFonts w:ascii="Times New Roman" w:hAnsi="Times New Roman"/>
        </w:rPr>
      </w:pPr>
    </w:p>
    <w:p w:rsidR="008463CD" w:rsidRPr="008463CD" w:rsidRDefault="00F778E2" w:rsidP="00F778E2">
      <w:pPr>
        <w:pStyle w:val="Textoindependiente"/>
        <w:spacing w:line="480" w:lineRule="auto"/>
        <w:contextualSpacing/>
        <w:rPr>
          <w:rFonts w:ascii="Times New Roman" w:hAnsi="Times New Roman"/>
        </w:rPr>
      </w:pPr>
      <w:r>
        <w:rPr>
          <w:rFonts w:ascii="Times New Roman" w:hAnsi="Times New Roman"/>
          <w:b/>
        </w:rPr>
        <w:t xml:space="preserve">II- </w:t>
      </w:r>
      <w:r w:rsidR="00F522F7" w:rsidRPr="008463CD">
        <w:rPr>
          <w:rFonts w:ascii="Times New Roman" w:hAnsi="Times New Roman"/>
          <w:b/>
        </w:rPr>
        <w:t>METAS PRESIDENCIALES:</w:t>
      </w:r>
      <w:r w:rsidR="008463CD" w:rsidRPr="008463CD">
        <w:rPr>
          <w:rFonts w:ascii="Times New Roman" w:hAnsi="Times New Roman"/>
        </w:rPr>
        <w:t xml:space="preserve"> </w:t>
      </w:r>
    </w:p>
    <w:p w:rsidR="008463CD" w:rsidRPr="008463CD" w:rsidRDefault="008463CD" w:rsidP="008463CD">
      <w:pPr>
        <w:pStyle w:val="Textoindependiente"/>
        <w:spacing w:line="480" w:lineRule="auto"/>
        <w:contextualSpacing/>
        <w:rPr>
          <w:rFonts w:ascii="Times New Roman" w:hAnsi="Times New Roman"/>
        </w:rPr>
      </w:pPr>
      <w:r w:rsidRPr="008463CD">
        <w:rPr>
          <w:rFonts w:ascii="Times New Roman" w:hAnsi="Times New Roman"/>
        </w:rPr>
        <w:t>Durante este período enero- diciembre 2017 los logros acumulados en</w:t>
      </w:r>
      <w:r w:rsidR="00136E47">
        <w:rPr>
          <w:rFonts w:ascii="Times New Roman" w:hAnsi="Times New Roman"/>
        </w:rPr>
        <w:t xml:space="preserve"> las  Metas P</w:t>
      </w:r>
      <w:r w:rsidRPr="008463CD">
        <w:rPr>
          <w:rFonts w:ascii="Times New Roman" w:hAnsi="Times New Roman"/>
        </w:rPr>
        <w:t xml:space="preserve">residenciales  fueron los siguientes: </w:t>
      </w:r>
    </w:p>
    <w:p w:rsidR="008463CD" w:rsidRPr="008463CD" w:rsidRDefault="008463CD" w:rsidP="008463CD">
      <w:pPr>
        <w:pStyle w:val="Textoindependiente"/>
        <w:spacing w:line="480" w:lineRule="auto"/>
        <w:contextualSpacing/>
        <w:rPr>
          <w:rFonts w:ascii="Times New Roman" w:hAnsi="Times New Roman"/>
        </w:rPr>
      </w:pPr>
      <w:r w:rsidRPr="008463CD">
        <w:rPr>
          <w:rFonts w:ascii="Times New Roman" w:hAnsi="Times New Roman"/>
        </w:rPr>
        <w:t xml:space="preserve">Viviendas Reparadas por Componentes: </w:t>
      </w:r>
      <w:r w:rsidRPr="008463CD">
        <w:rPr>
          <w:rFonts w:ascii="Times New Roman" w:hAnsi="Times New Roman"/>
          <w:b/>
        </w:rPr>
        <w:t>2,050</w:t>
      </w:r>
      <w:r w:rsidRPr="008463CD">
        <w:rPr>
          <w:rFonts w:ascii="Times New Roman" w:hAnsi="Times New Roman"/>
        </w:rPr>
        <w:t xml:space="preserve"> (paredes y techo).</w:t>
      </w:r>
    </w:p>
    <w:p w:rsidR="008463CD" w:rsidRPr="008463CD" w:rsidRDefault="008463CD" w:rsidP="008463CD">
      <w:pPr>
        <w:pStyle w:val="Textoindependiente"/>
        <w:spacing w:line="480" w:lineRule="auto"/>
        <w:contextualSpacing/>
        <w:rPr>
          <w:rFonts w:ascii="Times New Roman" w:hAnsi="Times New Roman"/>
        </w:rPr>
      </w:pPr>
      <w:r w:rsidRPr="008463CD">
        <w:rPr>
          <w:rFonts w:ascii="Times New Roman" w:hAnsi="Times New Roman"/>
        </w:rPr>
        <w:t xml:space="preserve">Cambio de Piso de Tierra por Piso de Cemento: </w:t>
      </w:r>
      <w:r w:rsidRPr="008463CD">
        <w:rPr>
          <w:rFonts w:ascii="Times New Roman" w:hAnsi="Times New Roman"/>
          <w:b/>
        </w:rPr>
        <w:t>2,182</w:t>
      </w:r>
    </w:p>
    <w:p w:rsidR="008463CD" w:rsidRPr="008463CD" w:rsidRDefault="008463CD" w:rsidP="008463CD">
      <w:pPr>
        <w:pStyle w:val="Textoindependiente"/>
        <w:spacing w:line="480" w:lineRule="auto"/>
        <w:contextualSpacing/>
        <w:rPr>
          <w:rFonts w:ascii="Times New Roman" w:hAnsi="Times New Roman"/>
        </w:rPr>
      </w:pPr>
      <w:r w:rsidRPr="008463CD">
        <w:rPr>
          <w:rFonts w:ascii="Times New Roman" w:hAnsi="Times New Roman"/>
        </w:rPr>
        <w:t>Unidades de Servicios Sanitarios</w:t>
      </w:r>
      <w:r w:rsidR="00136E47">
        <w:rPr>
          <w:rFonts w:ascii="Times New Roman" w:hAnsi="Times New Roman"/>
        </w:rPr>
        <w:t xml:space="preserve"> Instaladas</w:t>
      </w:r>
      <w:r w:rsidRPr="008463CD">
        <w:rPr>
          <w:rFonts w:ascii="Times New Roman" w:hAnsi="Times New Roman"/>
        </w:rPr>
        <w:t xml:space="preserve">: </w:t>
      </w:r>
      <w:r w:rsidRPr="008463CD">
        <w:rPr>
          <w:rFonts w:ascii="Times New Roman" w:hAnsi="Times New Roman"/>
          <w:b/>
        </w:rPr>
        <w:t>1,192</w:t>
      </w:r>
      <w:r w:rsidRPr="008463CD">
        <w:rPr>
          <w:rFonts w:ascii="Times New Roman" w:hAnsi="Times New Roman"/>
        </w:rPr>
        <w:t xml:space="preserve"> </w:t>
      </w:r>
    </w:p>
    <w:p w:rsidR="008463CD" w:rsidRPr="008463CD" w:rsidRDefault="008463CD" w:rsidP="008463CD">
      <w:pPr>
        <w:pStyle w:val="Textoindependiente"/>
        <w:spacing w:line="480" w:lineRule="auto"/>
        <w:contextualSpacing/>
        <w:rPr>
          <w:rFonts w:ascii="Times New Roman" w:hAnsi="Times New Roman"/>
        </w:rPr>
      </w:pPr>
      <w:r w:rsidRPr="008463CD">
        <w:rPr>
          <w:rFonts w:ascii="Times New Roman" w:hAnsi="Times New Roman"/>
        </w:rPr>
        <w:t>Sustitución de Carbón y Leña  por estufa y gas</w:t>
      </w:r>
      <w:proofErr w:type="gramStart"/>
      <w:r w:rsidRPr="008463CD">
        <w:rPr>
          <w:rFonts w:ascii="Times New Roman" w:hAnsi="Times New Roman"/>
        </w:rPr>
        <w:t xml:space="preserve">: </w:t>
      </w:r>
      <w:r w:rsidRPr="008463CD">
        <w:rPr>
          <w:rFonts w:ascii="Times New Roman" w:hAnsi="Times New Roman"/>
          <w:b/>
        </w:rPr>
        <w:t xml:space="preserve"> 100</w:t>
      </w:r>
      <w:proofErr w:type="gramEnd"/>
      <w:r w:rsidRPr="008463CD">
        <w:rPr>
          <w:rFonts w:ascii="Times New Roman" w:hAnsi="Times New Roman"/>
        </w:rPr>
        <w:t xml:space="preserve"> </w:t>
      </w:r>
    </w:p>
    <w:p w:rsidR="008463CD" w:rsidRPr="008463CD" w:rsidRDefault="008463CD" w:rsidP="008463CD">
      <w:pPr>
        <w:pStyle w:val="Textoindependiente"/>
        <w:spacing w:line="480" w:lineRule="auto"/>
        <w:contextualSpacing/>
        <w:rPr>
          <w:rFonts w:ascii="Times New Roman" w:hAnsi="Times New Roman"/>
          <w:b/>
        </w:rPr>
      </w:pPr>
    </w:p>
    <w:p w:rsidR="00F522F7" w:rsidRPr="008463CD" w:rsidRDefault="00F522F7" w:rsidP="00F522F7">
      <w:pPr>
        <w:pStyle w:val="Textoindependiente"/>
        <w:spacing w:line="480" w:lineRule="auto"/>
        <w:contextualSpacing/>
        <w:rPr>
          <w:rFonts w:ascii="Times New Roman" w:hAnsi="Times New Roman"/>
          <w:b/>
        </w:rPr>
      </w:pPr>
    </w:p>
    <w:p w:rsidR="00260488" w:rsidRDefault="00260488" w:rsidP="00F522F7">
      <w:pPr>
        <w:pStyle w:val="Textoindependiente"/>
        <w:spacing w:line="480" w:lineRule="auto"/>
        <w:contextualSpacing/>
        <w:rPr>
          <w:rFonts w:ascii="Times New Roman" w:hAnsi="Times New Roman"/>
          <w:b/>
        </w:rPr>
      </w:pPr>
    </w:p>
    <w:p w:rsidR="0048060F" w:rsidRDefault="0048060F" w:rsidP="00F522F7">
      <w:pPr>
        <w:pStyle w:val="Textoindependiente"/>
        <w:spacing w:line="480" w:lineRule="auto"/>
        <w:contextualSpacing/>
        <w:rPr>
          <w:rFonts w:ascii="Times New Roman" w:hAnsi="Times New Roman"/>
          <w:b/>
        </w:rPr>
      </w:pPr>
    </w:p>
    <w:p w:rsidR="0048060F" w:rsidRDefault="0048060F" w:rsidP="00F522F7">
      <w:pPr>
        <w:pStyle w:val="Textoindependiente"/>
        <w:spacing w:line="480" w:lineRule="auto"/>
        <w:contextualSpacing/>
        <w:rPr>
          <w:rFonts w:ascii="Times New Roman" w:hAnsi="Times New Roman"/>
          <w:b/>
        </w:rPr>
      </w:pPr>
    </w:p>
    <w:p w:rsidR="00F522F7" w:rsidRPr="008463CD" w:rsidRDefault="00F778E2" w:rsidP="00F522F7">
      <w:pPr>
        <w:pStyle w:val="Textoindependiente"/>
        <w:spacing w:line="480" w:lineRule="auto"/>
        <w:contextualSpacing/>
        <w:rPr>
          <w:rFonts w:ascii="Times New Roman" w:hAnsi="Times New Roman"/>
          <w:b/>
        </w:rPr>
      </w:pPr>
      <w:r>
        <w:rPr>
          <w:rFonts w:ascii="Times New Roman" w:hAnsi="Times New Roman"/>
          <w:b/>
        </w:rPr>
        <w:t>III-</w:t>
      </w:r>
      <w:r w:rsidR="00F91DA8">
        <w:rPr>
          <w:rFonts w:ascii="Times New Roman" w:hAnsi="Times New Roman"/>
          <w:b/>
        </w:rPr>
        <w:t xml:space="preserve"> </w:t>
      </w:r>
      <w:r w:rsidR="00F522F7" w:rsidRPr="008463CD">
        <w:rPr>
          <w:rFonts w:ascii="Times New Roman" w:hAnsi="Times New Roman"/>
          <w:b/>
        </w:rPr>
        <w:t>PROGRAMA DE TITULACION DE VIVIENDAS:</w:t>
      </w:r>
    </w:p>
    <w:p w:rsidR="000F7A31" w:rsidRPr="008463CD" w:rsidRDefault="00F91DA8" w:rsidP="000F7A31">
      <w:pPr>
        <w:spacing w:line="480" w:lineRule="auto"/>
        <w:jc w:val="both"/>
        <w:rPr>
          <w:sz w:val="24"/>
          <w:szCs w:val="24"/>
          <w:lang w:val="es-DO"/>
        </w:rPr>
      </w:pPr>
      <w:r>
        <w:rPr>
          <w:sz w:val="24"/>
          <w:szCs w:val="24"/>
          <w:lang w:val="es-DO"/>
        </w:rPr>
        <w:t xml:space="preserve">Otra iniciativa </w:t>
      </w:r>
      <w:r w:rsidR="003B2E24">
        <w:rPr>
          <w:sz w:val="24"/>
          <w:szCs w:val="24"/>
          <w:lang w:val="es-DO"/>
        </w:rPr>
        <w:t>importante</w:t>
      </w:r>
      <w:r w:rsidR="000F7A31" w:rsidRPr="008463CD">
        <w:rPr>
          <w:sz w:val="24"/>
          <w:szCs w:val="24"/>
          <w:lang w:val="es-DO"/>
        </w:rPr>
        <w:t xml:space="preserve">  ejecutada por el INVI que está beneficiando a familias dominicana</w:t>
      </w:r>
      <w:r>
        <w:rPr>
          <w:sz w:val="24"/>
          <w:szCs w:val="24"/>
          <w:lang w:val="es-DO"/>
        </w:rPr>
        <w:t>s</w:t>
      </w:r>
      <w:r w:rsidR="000F7A31" w:rsidRPr="008463CD">
        <w:rPr>
          <w:sz w:val="24"/>
          <w:szCs w:val="24"/>
          <w:lang w:val="es-DO"/>
        </w:rPr>
        <w:t xml:space="preserve"> fue el Programa de Titulación de Viviendas Construidas en Terrenos de</w:t>
      </w:r>
      <w:r>
        <w:rPr>
          <w:sz w:val="24"/>
          <w:szCs w:val="24"/>
          <w:lang w:val="es-DO"/>
        </w:rPr>
        <w:t>l</w:t>
      </w:r>
      <w:r w:rsidR="000F7A31" w:rsidRPr="008463CD">
        <w:rPr>
          <w:sz w:val="24"/>
          <w:szCs w:val="24"/>
          <w:lang w:val="es-DO"/>
        </w:rPr>
        <w:t xml:space="preserve"> Estado,  donde fueron favorecidos con la entrega de sus títulos de propiedad </w:t>
      </w:r>
      <w:r w:rsidR="000F7A31" w:rsidRPr="008463CD">
        <w:rPr>
          <w:b/>
          <w:sz w:val="24"/>
          <w:szCs w:val="24"/>
          <w:lang w:val="es-DO"/>
        </w:rPr>
        <w:t xml:space="preserve">444 </w:t>
      </w:r>
      <w:r w:rsidR="000F7A31" w:rsidRPr="008463CD">
        <w:rPr>
          <w:sz w:val="24"/>
          <w:szCs w:val="24"/>
          <w:lang w:val="es-DO"/>
        </w:rPr>
        <w:t xml:space="preserve">personas, otros </w:t>
      </w:r>
      <w:r w:rsidR="000F7A31" w:rsidRPr="008463CD">
        <w:rPr>
          <w:b/>
          <w:sz w:val="24"/>
          <w:szCs w:val="24"/>
          <w:lang w:val="es-DO"/>
        </w:rPr>
        <w:t xml:space="preserve">118 </w:t>
      </w:r>
      <w:r w:rsidR="000F7A31" w:rsidRPr="008463CD">
        <w:rPr>
          <w:sz w:val="24"/>
          <w:szCs w:val="24"/>
          <w:lang w:val="es-DO"/>
        </w:rPr>
        <w:t xml:space="preserve">se encuentran listos para ser entregados  y </w:t>
      </w:r>
      <w:r w:rsidR="000F7A31" w:rsidRPr="008463CD">
        <w:rPr>
          <w:b/>
          <w:sz w:val="24"/>
          <w:szCs w:val="24"/>
          <w:lang w:val="es-DO"/>
        </w:rPr>
        <w:t xml:space="preserve">137 </w:t>
      </w:r>
      <w:r w:rsidR="000F7A31" w:rsidRPr="008463CD">
        <w:rPr>
          <w:sz w:val="24"/>
          <w:szCs w:val="24"/>
          <w:lang w:val="es-DO"/>
        </w:rPr>
        <w:t>en proceso avanzado de terminación.</w:t>
      </w:r>
    </w:p>
    <w:p w:rsidR="00F522F7" w:rsidRPr="008463CD" w:rsidRDefault="00F522F7" w:rsidP="000F7A31">
      <w:pPr>
        <w:spacing w:line="480" w:lineRule="auto"/>
        <w:jc w:val="both"/>
        <w:rPr>
          <w:sz w:val="24"/>
          <w:szCs w:val="24"/>
          <w:lang w:val="es-DO"/>
        </w:rPr>
      </w:pPr>
    </w:p>
    <w:p w:rsidR="00F522F7" w:rsidRPr="00260488" w:rsidRDefault="004C6731" w:rsidP="00F778E2">
      <w:pPr>
        <w:pStyle w:val="Textoindependiente"/>
        <w:spacing w:line="240" w:lineRule="auto"/>
        <w:contextualSpacing/>
        <w:rPr>
          <w:rFonts w:ascii="Times New Roman" w:hAnsi="Times New Roman"/>
          <w:b/>
        </w:rPr>
      </w:pPr>
      <w:r>
        <w:rPr>
          <w:rFonts w:ascii="Times New Roman" w:hAnsi="Times New Roman"/>
          <w:b/>
        </w:rPr>
        <w:t>IV-</w:t>
      </w:r>
      <w:r w:rsidR="00F91DA8">
        <w:rPr>
          <w:rFonts w:ascii="Times New Roman" w:hAnsi="Times New Roman"/>
          <w:b/>
        </w:rPr>
        <w:t xml:space="preserve"> </w:t>
      </w:r>
      <w:r w:rsidR="00CA6902" w:rsidRPr="008463CD">
        <w:rPr>
          <w:rFonts w:ascii="Times New Roman" w:hAnsi="Times New Roman"/>
          <w:b/>
        </w:rPr>
        <w:t xml:space="preserve">PROYECTOS CERTIFICADOS  POR EL INVI  COMO VIVIENDAS DE BAJO COSTO SEGÚN </w:t>
      </w:r>
      <w:r w:rsidR="00CA6902" w:rsidRPr="008463CD">
        <w:rPr>
          <w:rFonts w:ascii="Times New Roman" w:hAnsi="Times New Roman"/>
        </w:rPr>
        <w:t xml:space="preserve"> </w:t>
      </w:r>
      <w:r w:rsidR="00CA6902" w:rsidRPr="008463CD">
        <w:rPr>
          <w:rFonts w:ascii="Times New Roman" w:hAnsi="Times New Roman"/>
          <w:b/>
        </w:rPr>
        <w:t>LEY</w:t>
      </w:r>
      <w:r w:rsidR="00F91DA8">
        <w:rPr>
          <w:rFonts w:ascii="Times New Roman" w:hAnsi="Times New Roman"/>
          <w:b/>
        </w:rPr>
        <w:t xml:space="preserve"> NO.189-11,  PERIODO ENERO-DICIEMBRE</w:t>
      </w:r>
      <w:r w:rsidR="00CA6902" w:rsidRPr="008463CD">
        <w:rPr>
          <w:rFonts w:ascii="Times New Roman" w:hAnsi="Times New Roman"/>
          <w:b/>
        </w:rPr>
        <w:t xml:space="preserve"> 2017:</w:t>
      </w:r>
    </w:p>
    <w:p w:rsidR="004C6731" w:rsidRDefault="004C6731" w:rsidP="000F7A31">
      <w:pPr>
        <w:spacing w:line="480" w:lineRule="auto"/>
        <w:jc w:val="both"/>
        <w:rPr>
          <w:sz w:val="24"/>
          <w:szCs w:val="24"/>
          <w:lang w:val="es-DO"/>
        </w:rPr>
      </w:pPr>
    </w:p>
    <w:p w:rsidR="000F7A31" w:rsidRPr="008463CD" w:rsidRDefault="000F7A31" w:rsidP="000F7A31">
      <w:pPr>
        <w:spacing w:line="480" w:lineRule="auto"/>
        <w:jc w:val="both"/>
        <w:rPr>
          <w:sz w:val="24"/>
          <w:szCs w:val="24"/>
          <w:lang w:val="es-DO"/>
        </w:rPr>
      </w:pPr>
      <w:r w:rsidRPr="008463CD">
        <w:rPr>
          <w:sz w:val="24"/>
          <w:szCs w:val="24"/>
          <w:lang w:val="es-DO"/>
        </w:rPr>
        <w:t xml:space="preserve">Dándole cumplimiento al mandato de la Ley No. 189-11, fueron certificados por parte del INVI como viviendas de bajo costo </w:t>
      </w:r>
      <w:r w:rsidRPr="008463CD">
        <w:rPr>
          <w:b/>
          <w:sz w:val="24"/>
          <w:szCs w:val="24"/>
          <w:lang w:val="es-DO"/>
        </w:rPr>
        <w:t xml:space="preserve">96 </w:t>
      </w:r>
      <w:r w:rsidRPr="008463CD">
        <w:rPr>
          <w:sz w:val="24"/>
          <w:szCs w:val="24"/>
          <w:lang w:val="es-DO"/>
        </w:rPr>
        <w:t>proyectos  inmobiliarios</w:t>
      </w:r>
      <w:r w:rsidR="00F91DA8">
        <w:rPr>
          <w:sz w:val="24"/>
          <w:szCs w:val="24"/>
          <w:lang w:val="es-DO"/>
        </w:rPr>
        <w:t xml:space="preserve"> del sector privado</w:t>
      </w:r>
      <w:r w:rsidRPr="008463CD">
        <w:rPr>
          <w:sz w:val="24"/>
          <w:szCs w:val="24"/>
          <w:lang w:val="es-DO"/>
        </w:rPr>
        <w:t xml:space="preserve">, que cuentan con </w:t>
      </w:r>
      <w:r w:rsidRPr="008463CD">
        <w:rPr>
          <w:b/>
          <w:sz w:val="24"/>
          <w:szCs w:val="24"/>
          <w:lang w:val="es-DO"/>
        </w:rPr>
        <w:t>38,664</w:t>
      </w:r>
      <w:r w:rsidRPr="008463CD">
        <w:rPr>
          <w:sz w:val="24"/>
          <w:szCs w:val="24"/>
          <w:lang w:val="es-DO"/>
        </w:rPr>
        <w:t xml:space="preserve"> viviendas para los cuales se beneficiaran los adquiriente con una compensación de RD$</w:t>
      </w:r>
      <w:r w:rsidRPr="008463CD">
        <w:rPr>
          <w:b/>
          <w:sz w:val="24"/>
          <w:szCs w:val="24"/>
          <w:lang w:val="es-DO"/>
        </w:rPr>
        <w:t>5</w:t>
      </w:r>
      <w:proofErr w:type="gramStart"/>
      <w:r w:rsidRPr="008463CD">
        <w:rPr>
          <w:b/>
          <w:sz w:val="24"/>
          <w:szCs w:val="24"/>
          <w:lang w:val="es-DO"/>
        </w:rPr>
        <w:t>,524,102,237.00</w:t>
      </w:r>
      <w:proofErr w:type="gramEnd"/>
      <w:r w:rsidRPr="008463CD">
        <w:rPr>
          <w:sz w:val="24"/>
          <w:szCs w:val="24"/>
          <w:lang w:val="es-DO"/>
        </w:rPr>
        <w:t xml:space="preserve"> aportada por el gobierno para la compra de su primera vivienda para familias de clase media baja.</w:t>
      </w:r>
    </w:p>
    <w:p w:rsidR="00CA6902" w:rsidRPr="008463CD" w:rsidRDefault="00CA6902" w:rsidP="000F7A31">
      <w:pPr>
        <w:spacing w:line="480" w:lineRule="auto"/>
        <w:jc w:val="both"/>
        <w:rPr>
          <w:b/>
          <w:sz w:val="24"/>
          <w:szCs w:val="24"/>
          <w:lang w:val="es-DO"/>
        </w:rPr>
      </w:pPr>
    </w:p>
    <w:p w:rsidR="00F522F7" w:rsidRPr="008463CD" w:rsidRDefault="004C6731" w:rsidP="000F7A31">
      <w:pPr>
        <w:spacing w:line="480" w:lineRule="auto"/>
        <w:jc w:val="both"/>
        <w:rPr>
          <w:b/>
          <w:sz w:val="24"/>
          <w:szCs w:val="24"/>
          <w:lang w:val="es-DO"/>
        </w:rPr>
      </w:pPr>
      <w:r>
        <w:rPr>
          <w:b/>
          <w:sz w:val="24"/>
          <w:szCs w:val="24"/>
          <w:lang w:val="es-DO"/>
        </w:rPr>
        <w:t>V-</w:t>
      </w:r>
      <w:r w:rsidR="00F91DA8">
        <w:rPr>
          <w:b/>
          <w:sz w:val="24"/>
          <w:szCs w:val="24"/>
          <w:lang w:val="es-DO"/>
        </w:rPr>
        <w:t xml:space="preserve"> </w:t>
      </w:r>
      <w:r w:rsidR="00CA6902" w:rsidRPr="008463CD">
        <w:rPr>
          <w:b/>
          <w:sz w:val="24"/>
          <w:szCs w:val="24"/>
          <w:lang w:val="es-DO"/>
        </w:rPr>
        <w:t>ÉTICA, TRANSPARENCIA Y RENDICIÓN DE CUENTAS</w:t>
      </w:r>
      <w:r w:rsidR="00F91DA8">
        <w:rPr>
          <w:b/>
          <w:sz w:val="24"/>
          <w:szCs w:val="24"/>
          <w:lang w:val="es-DO"/>
        </w:rPr>
        <w:t>:</w:t>
      </w:r>
    </w:p>
    <w:p w:rsidR="00CA6902" w:rsidRPr="008463CD" w:rsidRDefault="000F7A31" w:rsidP="00CA6902">
      <w:pPr>
        <w:spacing w:line="480" w:lineRule="auto"/>
        <w:jc w:val="both"/>
        <w:rPr>
          <w:sz w:val="24"/>
          <w:szCs w:val="24"/>
          <w:lang w:val="es-DO"/>
        </w:rPr>
      </w:pPr>
      <w:r w:rsidRPr="008463CD">
        <w:rPr>
          <w:sz w:val="24"/>
          <w:szCs w:val="24"/>
          <w:lang w:val="es-DO"/>
        </w:rPr>
        <w:t xml:space="preserve">En un seguimiento constante por su importancia dentro del </w:t>
      </w:r>
      <w:r w:rsidRPr="00F91DA8">
        <w:rPr>
          <w:b/>
          <w:sz w:val="24"/>
          <w:szCs w:val="24"/>
          <w:lang w:val="es-DO"/>
        </w:rPr>
        <w:t>Eje Ética, Transparencia y</w:t>
      </w:r>
      <w:r w:rsidRPr="008463CD">
        <w:rPr>
          <w:sz w:val="24"/>
          <w:szCs w:val="24"/>
          <w:lang w:val="es-DO"/>
        </w:rPr>
        <w:t xml:space="preserve"> </w:t>
      </w:r>
      <w:r w:rsidRPr="00F91DA8">
        <w:rPr>
          <w:b/>
          <w:sz w:val="24"/>
          <w:szCs w:val="24"/>
          <w:lang w:val="es-DO"/>
        </w:rPr>
        <w:t>Rendición de Cuentas</w:t>
      </w:r>
      <w:r w:rsidRPr="008463CD">
        <w:rPr>
          <w:sz w:val="24"/>
          <w:szCs w:val="24"/>
          <w:lang w:val="es-DO"/>
        </w:rPr>
        <w:t>, se realizaron actividades relacionadas al portal de transparencia que le permitió al INVI</w:t>
      </w:r>
      <w:r w:rsidR="00B64933">
        <w:rPr>
          <w:sz w:val="24"/>
          <w:szCs w:val="24"/>
          <w:lang w:val="es-DO"/>
        </w:rPr>
        <w:t xml:space="preserve"> obtener </w:t>
      </w:r>
      <w:r w:rsidRPr="008463CD">
        <w:rPr>
          <w:sz w:val="24"/>
          <w:szCs w:val="24"/>
          <w:lang w:val="es-DO"/>
        </w:rPr>
        <w:t xml:space="preserve"> una calificación  de un </w:t>
      </w:r>
      <w:r w:rsidRPr="008463CD">
        <w:rPr>
          <w:b/>
          <w:sz w:val="24"/>
          <w:szCs w:val="24"/>
          <w:lang w:val="es-DO"/>
        </w:rPr>
        <w:t xml:space="preserve">95% </w:t>
      </w:r>
      <w:r w:rsidRPr="008463CD">
        <w:rPr>
          <w:sz w:val="24"/>
          <w:szCs w:val="24"/>
          <w:lang w:val="es-DO"/>
        </w:rPr>
        <w:t xml:space="preserve">en la última evaluación hecha por la DIGEIG. De igual manera fueron respondidas en un </w:t>
      </w:r>
      <w:r w:rsidRPr="008463CD">
        <w:rPr>
          <w:b/>
          <w:sz w:val="24"/>
          <w:szCs w:val="24"/>
          <w:lang w:val="es-DO"/>
        </w:rPr>
        <w:t xml:space="preserve">100% </w:t>
      </w:r>
      <w:r w:rsidRPr="008463CD">
        <w:rPr>
          <w:sz w:val="24"/>
          <w:szCs w:val="24"/>
          <w:lang w:val="es-DO"/>
        </w:rPr>
        <w:t>dentro del plazo establecido por la Ley todas las solicitudes de información recibidas en la Oficina de Libre Acceso a la Información</w:t>
      </w:r>
      <w:r w:rsidR="00B64933">
        <w:rPr>
          <w:sz w:val="24"/>
          <w:szCs w:val="24"/>
          <w:lang w:val="es-DO"/>
        </w:rPr>
        <w:t xml:space="preserve"> Pública</w:t>
      </w:r>
      <w:r w:rsidRPr="008463CD">
        <w:rPr>
          <w:sz w:val="24"/>
          <w:szCs w:val="24"/>
          <w:lang w:val="es-DO"/>
        </w:rPr>
        <w:t xml:space="preserve">. Así mismo fue creada una nueva página </w:t>
      </w:r>
      <w:proofErr w:type="spellStart"/>
      <w:r w:rsidRPr="008463CD">
        <w:rPr>
          <w:sz w:val="24"/>
          <w:szCs w:val="24"/>
          <w:lang w:val="es-DO"/>
        </w:rPr>
        <w:t>website</w:t>
      </w:r>
      <w:proofErr w:type="spellEnd"/>
      <w:r w:rsidRPr="008463CD">
        <w:rPr>
          <w:sz w:val="24"/>
          <w:szCs w:val="24"/>
          <w:lang w:val="es-DO"/>
        </w:rPr>
        <w:t xml:space="preserve"> que dará acceso a las informaciones sobre la institución de manera más fácil y dinámica. También se cumplió con la Ley No. 311-14, donde los funcionario</w:t>
      </w:r>
      <w:r w:rsidR="00B64933">
        <w:rPr>
          <w:sz w:val="24"/>
          <w:szCs w:val="24"/>
          <w:lang w:val="es-DO"/>
        </w:rPr>
        <w:t>s que le correspondía presentaro</w:t>
      </w:r>
      <w:r w:rsidRPr="008463CD">
        <w:rPr>
          <w:sz w:val="24"/>
          <w:szCs w:val="24"/>
          <w:lang w:val="es-DO"/>
        </w:rPr>
        <w:t>n su Declaración Jurada de Bienes. Otro aporte que contribuye a la transparencia en la gestión es el informe de  logros que se presenta trimestral</w:t>
      </w:r>
      <w:r w:rsidR="00B64933">
        <w:rPr>
          <w:sz w:val="24"/>
          <w:szCs w:val="24"/>
          <w:lang w:val="es-DO"/>
        </w:rPr>
        <w:t>mente</w:t>
      </w:r>
      <w:r w:rsidRPr="008463CD">
        <w:rPr>
          <w:sz w:val="24"/>
          <w:szCs w:val="24"/>
          <w:lang w:val="es-DO"/>
        </w:rPr>
        <w:t>, mediante el cual</w:t>
      </w:r>
      <w:r w:rsidR="00B64933">
        <w:rPr>
          <w:sz w:val="24"/>
          <w:szCs w:val="24"/>
          <w:lang w:val="es-DO"/>
        </w:rPr>
        <w:t xml:space="preserve"> se</w:t>
      </w:r>
      <w:r w:rsidRPr="008463CD">
        <w:rPr>
          <w:sz w:val="24"/>
          <w:szCs w:val="24"/>
          <w:lang w:val="es-DO"/>
        </w:rPr>
        <w:t xml:space="preserve"> le da seguimiento a la Planificación Estratégica y</w:t>
      </w:r>
      <w:r w:rsidR="00B64933">
        <w:rPr>
          <w:sz w:val="24"/>
          <w:szCs w:val="24"/>
          <w:lang w:val="es-DO"/>
        </w:rPr>
        <w:t xml:space="preserve"> a</w:t>
      </w:r>
      <w:r w:rsidRPr="008463CD">
        <w:rPr>
          <w:sz w:val="24"/>
          <w:szCs w:val="24"/>
          <w:lang w:val="es-DO"/>
        </w:rPr>
        <w:t xml:space="preserve"> los Planes Operativos Anuales. Otra medida dispuesta mediante el Decreto No. 143-17 del presidente de la </w:t>
      </w:r>
      <w:r w:rsidR="00CA6902" w:rsidRPr="008463CD">
        <w:rPr>
          <w:sz w:val="24"/>
          <w:szCs w:val="24"/>
          <w:lang w:val="es-DO"/>
        </w:rPr>
        <w:t>República</w:t>
      </w:r>
      <w:r w:rsidRPr="008463CD">
        <w:rPr>
          <w:sz w:val="24"/>
          <w:szCs w:val="24"/>
          <w:lang w:val="es-DO"/>
        </w:rPr>
        <w:t xml:space="preserve"> y que busca una mayor transparencia fue la escogencia de la  nueva Comisión de Ética Pública para el período 2017-2019. </w:t>
      </w:r>
      <w:r w:rsidR="00CA6902" w:rsidRPr="008463CD">
        <w:rPr>
          <w:sz w:val="24"/>
          <w:szCs w:val="24"/>
          <w:lang w:val="es-DO"/>
        </w:rPr>
        <w:t>Asimismo</w:t>
      </w:r>
      <w:r w:rsidRPr="008463CD">
        <w:rPr>
          <w:sz w:val="24"/>
          <w:szCs w:val="24"/>
          <w:lang w:val="es-DO"/>
        </w:rPr>
        <w:t xml:space="preserve"> se dio continuidad a la implementación del Sistema Nacional de Control Interno, donde el INVI obtuvo una calificación general de </w:t>
      </w:r>
      <w:r w:rsidRPr="008463CD">
        <w:rPr>
          <w:b/>
          <w:sz w:val="24"/>
          <w:szCs w:val="24"/>
          <w:lang w:val="es-DO"/>
        </w:rPr>
        <w:t xml:space="preserve">79.71% </w:t>
      </w:r>
      <w:r w:rsidRPr="008463CD">
        <w:rPr>
          <w:sz w:val="24"/>
          <w:szCs w:val="24"/>
          <w:lang w:val="es-DO"/>
        </w:rPr>
        <w:t xml:space="preserve">en la última evaluación realizada por la Contraloría General de la República, ente rector de este sistema. Siguiendo este orden se continúo con el Sistema para la Gobernabilidad (SIGOB), mediante el cual se les da seguimiento a las Metas Presidenciales. </w:t>
      </w:r>
      <w:r w:rsidR="00B64933">
        <w:rPr>
          <w:sz w:val="24"/>
          <w:szCs w:val="24"/>
          <w:lang w:val="es-DO"/>
        </w:rPr>
        <w:t xml:space="preserve">En el </w:t>
      </w:r>
      <w:r w:rsidRPr="008463CD">
        <w:rPr>
          <w:sz w:val="24"/>
          <w:szCs w:val="24"/>
          <w:lang w:val="es-DO"/>
        </w:rPr>
        <w:t xml:space="preserve">Índice de Tecnología de la Información y Comunicación (TIC), implementación del Gobierno Electrónico  en el promedio de avance  y porcentaje  de este sistema se obtuvo una puntuación de </w:t>
      </w:r>
      <w:r w:rsidRPr="008463CD">
        <w:rPr>
          <w:b/>
          <w:sz w:val="24"/>
          <w:szCs w:val="24"/>
          <w:lang w:val="es-DO"/>
        </w:rPr>
        <w:t>57%</w:t>
      </w:r>
      <w:r w:rsidRPr="008463CD">
        <w:rPr>
          <w:sz w:val="24"/>
          <w:szCs w:val="24"/>
          <w:lang w:val="es-DO"/>
        </w:rPr>
        <w:t xml:space="preserve">  reflejando  un aumento de un </w:t>
      </w:r>
      <w:r w:rsidRPr="008463CD">
        <w:rPr>
          <w:b/>
          <w:sz w:val="24"/>
          <w:szCs w:val="24"/>
          <w:lang w:val="es-DO"/>
        </w:rPr>
        <w:t>19.34%</w:t>
      </w:r>
      <w:r w:rsidRPr="008463CD">
        <w:rPr>
          <w:sz w:val="24"/>
          <w:szCs w:val="24"/>
          <w:lang w:val="es-DO"/>
        </w:rPr>
        <w:t xml:space="preserve"> en comparación con el pasado año, Sistema de Monitoreo de la Administración Pública (SISMAP), dentro de este sistema se logró una puntuación de </w:t>
      </w:r>
      <w:r w:rsidRPr="008463CD">
        <w:rPr>
          <w:b/>
          <w:sz w:val="24"/>
          <w:szCs w:val="24"/>
          <w:lang w:val="es-DO"/>
        </w:rPr>
        <w:t>82%</w:t>
      </w:r>
      <w:r w:rsidRPr="008463CD">
        <w:rPr>
          <w:sz w:val="24"/>
          <w:szCs w:val="24"/>
          <w:lang w:val="es-DO"/>
        </w:rPr>
        <w:t xml:space="preserve"> en los n</w:t>
      </w:r>
      <w:r w:rsidR="00B64933">
        <w:rPr>
          <w:sz w:val="24"/>
          <w:szCs w:val="24"/>
          <w:lang w:val="es-DO"/>
        </w:rPr>
        <w:t>iveles de avance institucional</w:t>
      </w:r>
      <w:r w:rsidRPr="008463CD">
        <w:rPr>
          <w:sz w:val="24"/>
          <w:szCs w:val="24"/>
          <w:lang w:val="es-DO"/>
        </w:rPr>
        <w:t xml:space="preserve"> por indicador entre estos están, Manual de Cargos, Organigrama, Evaluación del Desempeño, Autoevaluación CAF, Carta Compromiso, Comité de Calidad, Empleados Reconocidos con Medalla al Mérito este año fueron reconocidas 3 empleadas, Sistema de Administración de Quejas y Denuncias (OPTIC), en la evaluación de la Vinculación al Sistema 311, Sistema de Gestión Financiera (SIGEF), Sistema Nacional Plurianual del Sector Publico (PNPSP), Sistema Nacional de Inversión Pública (SNIP), por último el Sistema de Compras y Contrataciones.</w:t>
      </w:r>
    </w:p>
    <w:p w:rsidR="00CA6902" w:rsidRPr="008463CD" w:rsidRDefault="00CA6902" w:rsidP="00CA6902">
      <w:pPr>
        <w:pStyle w:val="Textoindependiente"/>
        <w:spacing w:line="480" w:lineRule="auto"/>
        <w:contextualSpacing/>
        <w:rPr>
          <w:rFonts w:ascii="Times New Roman" w:hAnsi="Times New Roman"/>
          <w:b/>
        </w:rPr>
      </w:pPr>
    </w:p>
    <w:p w:rsidR="00B64933" w:rsidRDefault="00B64933" w:rsidP="00CA6902">
      <w:pPr>
        <w:pStyle w:val="Textoindependiente"/>
        <w:spacing w:line="480" w:lineRule="auto"/>
        <w:contextualSpacing/>
        <w:rPr>
          <w:rFonts w:ascii="Times New Roman" w:hAnsi="Times New Roman"/>
          <w:b/>
        </w:rPr>
      </w:pPr>
    </w:p>
    <w:p w:rsidR="00B64933" w:rsidRDefault="00B64933" w:rsidP="00CA6902">
      <w:pPr>
        <w:pStyle w:val="Textoindependiente"/>
        <w:spacing w:line="480" w:lineRule="auto"/>
        <w:contextualSpacing/>
        <w:rPr>
          <w:rFonts w:ascii="Times New Roman" w:hAnsi="Times New Roman"/>
          <w:b/>
        </w:rPr>
      </w:pPr>
    </w:p>
    <w:p w:rsidR="00CA6902" w:rsidRPr="008463CD" w:rsidRDefault="004C6731" w:rsidP="00CA6902">
      <w:pPr>
        <w:pStyle w:val="Textoindependiente"/>
        <w:spacing w:line="480" w:lineRule="auto"/>
        <w:contextualSpacing/>
        <w:rPr>
          <w:rFonts w:ascii="Times New Roman" w:hAnsi="Times New Roman"/>
        </w:rPr>
      </w:pPr>
      <w:r>
        <w:rPr>
          <w:rFonts w:ascii="Times New Roman" w:hAnsi="Times New Roman"/>
          <w:b/>
        </w:rPr>
        <w:t>VI-</w:t>
      </w:r>
      <w:r w:rsidR="00B64933">
        <w:rPr>
          <w:rFonts w:ascii="Times New Roman" w:hAnsi="Times New Roman"/>
          <w:b/>
        </w:rPr>
        <w:t xml:space="preserve"> </w:t>
      </w:r>
      <w:r w:rsidR="00CA6902" w:rsidRPr="008463CD">
        <w:rPr>
          <w:rFonts w:ascii="Times New Roman" w:hAnsi="Times New Roman"/>
          <w:b/>
        </w:rPr>
        <w:t>FORTALECIMIENTO INSTITUCIONAL:</w:t>
      </w:r>
    </w:p>
    <w:p w:rsidR="000F7A31" w:rsidRPr="008463CD" w:rsidRDefault="000F7A31" w:rsidP="000F7A31">
      <w:pPr>
        <w:spacing w:line="480" w:lineRule="auto"/>
        <w:jc w:val="both"/>
        <w:rPr>
          <w:sz w:val="24"/>
          <w:szCs w:val="24"/>
          <w:lang w:val="es-DO"/>
        </w:rPr>
      </w:pPr>
      <w:r w:rsidRPr="008463CD">
        <w:rPr>
          <w:sz w:val="24"/>
          <w:szCs w:val="24"/>
          <w:lang w:val="es-DO"/>
        </w:rPr>
        <w:t xml:space="preserve">Dentro de los logros alcanzados en el </w:t>
      </w:r>
      <w:r w:rsidRPr="008463CD">
        <w:rPr>
          <w:b/>
          <w:sz w:val="24"/>
          <w:szCs w:val="24"/>
          <w:lang w:val="es-DO"/>
        </w:rPr>
        <w:t>Eje Fortalecimiento de la Gestión Institucional y Sectorial</w:t>
      </w:r>
      <w:r w:rsidRPr="008463CD">
        <w:rPr>
          <w:sz w:val="24"/>
          <w:szCs w:val="24"/>
          <w:lang w:val="es-DO"/>
        </w:rPr>
        <w:t xml:space="preserve"> se destacan los siguientes: Firma de Convenio entre el INVI y el embajador Antonio Vargas, Director General de la Dirección General de Cooperación Multilateral (DIGECOOM) y Ordenador Nacional de los Fondos Europeos, con el cual se sustentará la coordinación de esfuerzos conjuntos en la elaboración de una propuesta técnica, para desarrollar un programa de construcción de viviendas. Asistencia del INVI a la reunión como miembro del Comité Ejecutivo de la Asociación Mundial de la Carretera, realizada en </w:t>
      </w:r>
      <w:proofErr w:type="spellStart"/>
      <w:r w:rsidRPr="008463CD">
        <w:rPr>
          <w:sz w:val="24"/>
          <w:szCs w:val="24"/>
          <w:lang w:val="es-DO"/>
        </w:rPr>
        <w:t>AbuDhabi</w:t>
      </w:r>
      <w:proofErr w:type="spellEnd"/>
      <w:r w:rsidRPr="008463CD">
        <w:rPr>
          <w:sz w:val="24"/>
          <w:szCs w:val="24"/>
          <w:lang w:val="es-DO"/>
        </w:rPr>
        <w:t>, Emiratos Árabes Unidos en el mes de marzo. Participación de la institución en la XXVI Asamblea de Ministros y Autoridades Máximas en Vivienda y Desarrollo Urbano de Latinoamérica y el Caribe (MINURVI) celebrada en el mes de junio en la ciudad de Buenos Aires, Argentina. Se recibió la visita en el INVI de los Directivos de Hábitat para la Humanidad para tratar el tema sobre el Foro Regional de Viviendas, previsto a realizarse en el mes de junio del 2018. Así mismo se realizó una reunión con inversionistas extranjeros entre ellos el Director General del Instituto de Planificación y Soluciones Energéticas para las Zonas no Interconectadas (IPSE), para presentar propuestas de construcción de viviendas de bajo costo en la Sede Central de la Institución en Santo Domingo.</w:t>
      </w:r>
    </w:p>
    <w:p w:rsidR="000F7A31" w:rsidRPr="008463CD" w:rsidRDefault="000F7A31" w:rsidP="000F7A31">
      <w:pPr>
        <w:jc w:val="center"/>
        <w:rPr>
          <w:b/>
          <w:sz w:val="24"/>
          <w:szCs w:val="24"/>
          <w:lang w:val="es-ES"/>
        </w:rPr>
      </w:pPr>
    </w:p>
    <w:p w:rsidR="000F7A31" w:rsidRPr="008463CD" w:rsidRDefault="000F7A31" w:rsidP="000F7A31">
      <w:pPr>
        <w:jc w:val="center"/>
        <w:rPr>
          <w:b/>
          <w:sz w:val="24"/>
          <w:szCs w:val="24"/>
          <w:lang w:val="es-ES"/>
        </w:rPr>
      </w:pPr>
    </w:p>
    <w:p w:rsidR="000F7A31" w:rsidRPr="008463CD" w:rsidRDefault="000F7A31" w:rsidP="000F7A31">
      <w:pPr>
        <w:jc w:val="center"/>
        <w:rPr>
          <w:b/>
          <w:sz w:val="24"/>
          <w:szCs w:val="24"/>
          <w:lang w:val="es-ES"/>
        </w:rPr>
      </w:pPr>
    </w:p>
    <w:p w:rsidR="000F7A31" w:rsidRPr="008463CD" w:rsidRDefault="000F7A31" w:rsidP="000F7A31">
      <w:pPr>
        <w:rPr>
          <w:b/>
          <w:sz w:val="24"/>
          <w:szCs w:val="24"/>
          <w:lang w:val="es-ES"/>
        </w:rPr>
      </w:pPr>
    </w:p>
    <w:p w:rsidR="000F7A31" w:rsidRPr="008463CD" w:rsidRDefault="000F7A31" w:rsidP="000F7A31">
      <w:pPr>
        <w:jc w:val="center"/>
        <w:rPr>
          <w:b/>
          <w:bCs/>
          <w:iCs/>
          <w:sz w:val="24"/>
          <w:szCs w:val="24"/>
          <w:lang w:val="es-DO"/>
        </w:rPr>
      </w:pPr>
    </w:p>
    <w:p w:rsidR="000F7A31" w:rsidRPr="008463CD" w:rsidRDefault="000F7A31" w:rsidP="000F7A31">
      <w:pPr>
        <w:jc w:val="center"/>
        <w:rPr>
          <w:b/>
          <w:bCs/>
          <w:iCs/>
          <w:sz w:val="24"/>
          <w:szCs w:val="24"/>
          <w:lang w:val="es-DO"/>
        </w:rPr>
      </w:pPr>
    </w:p>
    <w:p w:rsidR="000F7A31" w:rsidRPr="008463CD" w:rsidRDefault="000F7A31" w:rsidP="000F7A31">
      <w:pPr>
        <w:jc w:val="center"/>
        <w:rPr>
          <w:b/>
          <w:bCs/>
          <w:iCs/>
          <w:sz w:val="24"/>
          <w:szCs w:val="24"/>
          <w:lang w:val="es-DO"/>
        </w:rPr>
      </w:pPr>
    </w:p>
    <w:p w:rsidR="000F7A31" w:rsidRPr="008463CD" w:rsidRDefault="000F7A31" w:rsidP="000F7A31">
      <w:pPr>
        <w:jc w:val="center"/>
        <w:rPr>
          <w:b/>
          <w:bCs/>
          <w:iCs/>
          <w:sz w:val="24"/>
          <w:szCs w:val="24"/>
          <w:lang w:val="es-DO"/>
        </w:rPr>
      </w:pPr>
    </w:p>
    <w:p w:rsidR="000F7A31" w:rsidRPr="008463CD" w:rsidRDefault="000F7A31" w:rsidP="000F7A31">
      <w:pPr>
        <w:jc w:val="center"/>
        <w:rPr>
          <w:b/>
          <w:bCs/>
          <w:iCs/>
          <w:sz w:val="24"/>
          <w:szCs w:val="24"/>
          <w:lang w:val="es-DO"/>
        </w:rPr>
      </w:pPr>
    </w:p>
    <w:p w:rsidR="000F7A31" w:rsidRPr="008463CD" w:rsidRDefault="000F7A31" w:rsidP="000F7A31">
      <w:pPr>
        <w:jc w:val="center"/>
        <w:rPr>
          <w:sz w:val="24"/>
          <w:szCs w:val="24"/>
          <w:lang w:val="es-DO"/>
        </w:rPr>
      </w:pPr>
    </w:p>
    <w:p w:rsidR="00ED1E67" w:rsidRDefault="00ED1E67" w:rsidP="00CC09D9">
      <w:pPr>
        <w:pStyle w:val="Textoindependiente"/>
        <w:spacing w:line="480" w:lineRule="auto"/>
        <w:contextualSpacing/>
        <w:rPr>
          <w:rFonts w:ascii="Times New Roman" w:hAnsi="Times New Roman"/>
          <w:b/>
        </w:rPr>
      </w:pPr>
    </w:p>
    <w:tbl>
      <w:tblPr>
        <w:tblW w:w="8180" w:type="dxa"/>
        <w:jc w:val="center"/>
        <w:tblCellMar>
          <w:left w:w="70" w:type="dxa"/>
          <w:right w:w="70" w:type="dxa"/>
        </w:tblCellMar>
        <w:tblLook w:val="04A0" w:firstRow="1" w:lastRow="0" w:firstColumn="1" w:lastColumn="0" w:noHBand="0" w:noVBand="1"/>
      </w:tblPr>
      <w:tblGrid>
        <w:gridCol w:w="2842"/>
        <w:gridCol w:w="1553"/>
        <w:gridCol w:w="1740"/>
        <w:gridCol w:w="2045"/>
      </w:tblGrid>
      <w:tr w:rsidR="00F778E2" w:rsidRPr="00B54C15" w:rsidTr="00F778E2">
        <w:trPr>
          <w:trHeight w:val="315"/>
          <w:jc w:val="center"/>
        </w:trPr>
        <w:tc>
          <w:tcPr>
            <w:tcW w:w="8180" w:type="dxa"/>
            <w:gridSpan w:val="4"/>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8040"/>
            </w:tblGrid>
            <w:tr w:rsidR="00F778E2" w:rsidRPr="00B54C15" w:rsidTr="00F778E2">
              <w:trPr>
                <w:trHeight w:val="315"/>
                <w:tblCellSpacing w:w="0" w:type="dxa"/>
              </w:trPr>
              <w:tc>
                <w:tcPr>
                  <w:tcW w:w="8040" w:type="dxa"/>
                  <w:tcBorders>
                    <w:top w:val="nil"/>
                    <w:left w:val="nil"/>
                    <w:bottom w:val="nil"/>
                    <w:right w:val="nil"/>
                  </w:tcBorders>
                  <w:shd w:val="clear" w:color="auto" w:fill="auto"/>
                  <w:noWrap/>
                  <w:vAlign w:val="bottom"/>
                  <w:hideMark/>
                </w:tcPr>
                <w:p w:rsidR="00F778E2" w:rsidRPr="00B54C15" w:rsidRDefault="00F778E2" w:rsidP="00B64933">
                  <w:pPr>
                    <w:rPr>
                      <w:b/>
                      <w:bCs/>
                      <w:lang w:val="es-DO"/>
                    </w:rPr>
                  </w:pPr>
                  <w:r w:rsidRPr="00B54C15">
                    <w:rPr>
                      <w:b/>
                      <w:bCs/>
                      <w:lang w:val="es-DO"/>
                    </w:rPr>
                    <w:t xml:space="preserve"> </w:t>
                  </w:r>
                </w:p>
              </w:tc>
            </w:tr>
          </w:tbl>
          <w:p w:rsidR="00F778E2" w:rsidRPr="00B54C15" w:rsidRDefault="00F778E2" w:rsidP="00F778E2">
            <w:pPr>
              <w:rPr>
                <w:rFonts w:ascii="Calibri" w:hAnsi="Calibri"/>
                <w:sz w:val="22"/>
                <w:szCs w:val="22"/>
                <w:lang w:val="es-DO"/>
              </w:rPr>
            </w:pPr>
          </w:p>
        </w:tc>
      </w:tr>
      <w:tr w:rsidR="00F778E2" w:rsidRPr="00AA21B6" w:rsidTr="00F778E2">
        <w:trPr>
          <w:trHeight w:val="315"/>
          <w:jc w:val="center"/>
        </w:trPr>
        <w:tc>
          <w:tcPr>
            <w:tcW w:w="8180" w:type="dxa"/>
            <w:gridSpan w:val="4"/>
            <w:tcBorders>
              <w:top w:val="nil"/>
              <w:left w:val="nil"/>
              <w:bottom w:val="nil"/>
              <w:right w:val="nil"/>
            </w:tcBorders>
            <w:shd w:val="clear" w:color="auto" w:fill="auto"/>
            <w:noWrap/>
            <w:vAlign w:val="bottom"/>
            <w:hideMark/>
          </w:tcPr>
          <w:p w:rsidR="00F778E2" w:rsidRPr="00F778E2" w:rsidRDefault="00E7360C" w:rsidP="00E7360C">
            <w:pPr>
              <w:rPr>
                <w:b/>
                <w:bCs/>
                <w:lang w:val="es-DO"/>
              </w:rPr>
            </w:pPr>
            <w:r>
              <w:rPr>
                <w:b/>
                <w:bCs/>
                <w:lang w:val="es-DO"/>
              </w:rPr>
              <w:t xml:space="preserve">VII- </w:t>
            </w:r>
            <w:r w:rsidR="00F778E2" w:rsidRPr="00F778E2">
              <w:rPr>
                <w:b/>
                <w:bCs/>
                <w:lang w:val="es-DO"/>
              </w:rPr>
              <w:t xml:space="preserve"> PRODUCCION LOGRADA</w:t>
            </w:r>
            <w:r w:rsidR="00B54C15">
              <w:rPr>
                <w:b/>
                <w:bCs/>
                <w:lang w:val="es-DO"/>
              </w:rPr>
              <w:t>:</w:t>
            </w:r>
          </w:p>
        </w:tc>
      </w:tr>
      <w:tr w:rsidR="00F778E2" w:rsidRPr="00B54C15" w:rsidTr="00F778E2">
        <w:trPr>
          <w:trHeight w:val="330"/>
          <w:jc w:val="center"/>
        </w:trPr>
        <w:tc>
          <w:tcPr>
            <w:tcW w:w="8180" w:type="dxa"/>
            <w:gridSpan w:val="4"/>
            <w:tcBorders>
              <w:top w:val="nil"/>
              <w:left w:val="nil"/>
              <w:bottom w:val="single" w:sz="8" w:space="0" w:color="auto"/>
              <w:right w:val="nil"/>
            </w:tcBorders>
            <w:shd w:val="clear" w:color="auto" w:fill="auto"/>
            <w:noWrap/>
            <w:vAlign w:val="bottom"/>
            <w:hideMark/>
          </w:tcPr>
          <w:p w:rsidR="00E7360C" w:rsidRDefault="00E7360C" w:rsidP="00F778E2">
            <w:pPr>
              <w:jc w:val="center"/>
              <w:rPr>
                <w:b/>
                <w:bCs/>
              </w:rPr>
            </w:pPr>
          </w:p>
          <w:p w:rsidR="00F778E2" w:rsidRPr="00C0169B" w:rsidRDefault="00234133" w:rsidP="00F778E2">
            <w:pPr>
              <w:jc w:val="center"/>
              <w:rPr>
                <w:b/>
                <w:bCs/>
                <w:lang w:val="es-DO"/>
              </w:rPr>
            </w:pPr>
            <w:r w:rsidRPr="00C0169B">
              <w:rPr>
                <w:b/>
                <w:bCs/>
                <w:lang w:val="es-DO"/>
              </w:rPr>
              <w:t xml:space="preserve">PRODUCCION LOGADA </w:t>
            </w:r>
            <w:r w:rsidR="00F778E2" w:rsidRPr="00C0169B">
              <w:rPr>
                <w:b/>
                <w:bCs/>
                <w:lang w:val="es-DO"/>
              </w:rPr>
              <w:t>ENERO - DICIEMBRE AÑO 2017</w:t>
            </w:r>
          </w:p>
        </w:tc>
      </w:tr>
      <w:tr w:rsidR="00F778E2" w:rsidRPr="00F20362" w:rsidTr="00F778E2">
        <w:trPr>
          <w:trHeight w:val="525"/>
          <w:jc w:val="center"/>
        </w:trPr>
        <w:tc>
          <w:tcPr>
            <w:tcW w:w="2842" w:type="dxa"/>
            <w:tcBorders>
              <w:top w:val="nil"/>
              <w:left w:val="single" w:sz="8" w:space="0" w:color="auto"/>
              <w:bottom w:val="single" w:sz="8" w:space="0" w:color="auto"/>
              <w:right w:val="single" w:sz="4" w:space="0" w:color="auto"/>
            </w:tcBorders>
            <w:shd w:val="clear" w:color="000000" w:fill="F2F2F2"/>
            <w:noWrap/>
            <w:vAlign w:val="center"/>
            <w:hideMark/>
          </w:tcPr>
          <w:p w:rsidR="00F778E2" w:rsidRPr="00F20362" w:rsidRDefault="00F778E2" w:rsidP="00F778E2">
            <w:pPr>
              <w:jc w:val="center"/>
              <w:rPr>
                <w:b/>
                <w:bCs/>
              </w:rPr>
            </w:pPr>
            <w:r w:rsidRPr="00F20362">
              <w:rPr>
                <w:b/>
                <w:bCs/>
              </w:rPr>
              <w:t>PROGRAMA</w:t>
            </w:r>
          </w:p>
        </w:tc>
        <w:tc>
          <w:tcPr>
            <w:tcW w:w="1553" w:type="dxa"/>
            <w:tcBorders>
              <w:top w:val="nil"/>
              <w:left w:val="nil"/>
              <w:bottom w:val="single" w:sz="8" w:space="0" w:color="auto"/>
              <w:right w:val="single" w:sz="4" w:space="0" w:color="auto"/>
            </w:tcBorders>
            <w:shd w:val="clear" w:color="000000" w:fill="F2F2F2"/>
            <w:vAlign w:val="center"/>
            <w:hideMark/>
          </w:tcPr>
          <w:p w:rsidR="00F778E2" w:rsidRPr="00F20362" w:rsidRDefault="00F778E2" w:rsidP="00F778E2">
            <w:pPr>
              <w:jc w:val="center"/>
              <w:rPr>
                <w:b/>
                <w:bCs/>
              </w:rPr>
            </w:pPr>
            <w:r w:rsidRPr="00F20362">
              <w:rPr>
                <w:b/>
                <w:bCs/>
              </w:rPr>
              <w:t>VIVIENDAS TERMINADAS</w:t>
            </w:r>
          </w:p>
        </w:tc>
        <w:tc>
          <w:tcPr>
            <w:tcW w:w="1740" w:type="dxa"/>
            <w:tcBorders>
              <w:top w:val="nil"/>
              <w:left w:val="nil"/>
              <w:bottom w:val="single" w:sz="8" w:space="0" w:color="auto"/>
              <w:right w:val="single" w:sz="4" w:space="0" w:color="auto"/>
            </w:tcBorders>
            <w:shd w:val="clear" w:color="000000" w:fill="F2F2F2"/>
            <w:vAlign w:val="center"/>
            <w:hideMark/>
          </w:tcPr>
          <w:p w:rsidR="00F778E2" w:rsidRPr="00F20362" w:rsidRDefault="00F778E2" w:rsidP="00F778E2">
            <w:pPr>
              <w:jc w:val="center"/>
              <w:rPr>
                <w:b/>
                <w:bCs/>
              </w:rPr>
            </w:pPr>
            <w:r w:rsidRPr="00F20362">
              <w:rPr>
                <w:b/>
                <w:bCs/>
              </w:rPr>
              <w:t xml:space="preserve">VIVIENDAS EN EJECUCION  </w:t>
            </w:r>
          </w:p>
        </w:tc>
        <w:tc>
          <w:tcPr>
            <w:tcW w:w="2045" w:type="dxa"/>
            <w:tcBorders>
              <w:top w:val="nil"/>
              <w:left w:val="nil"/>
              <w:bottom w:val="single" w:sz="8" w:space="0" w:color="auto"/>
              <w:right w:val="single" w:sz="8" w:space="0" w:color="auto"/>
            </w:tcBorders>
            <w:shd w:val="clear" w:color="000000" w:fill="F2F2F2"/>
            <w:vAlign w:val="center"/>
            <w:hideMark/>
          </w:tcPr>
          <w:p w:rsidR="00F778E2" w:rsidRPr="00F20362" w:rsidRDefault="00F778E2" w:rsidP="00F778E2">
            <w:pPr>
              <w:jc w:val="center"/>
              <w:rPr>
                <w:b/>
                <w:bCs/>
              </w:rPr>
            </w:pPr>
            <w:r w:rsidRPr="00F20362">
              <w:rPr>
                <w:b/>
                <w:bCs/>
              </w:rPr>
              <w:t xml:space="preserve">TOTAL VIVIENDAS INTERVENIDAS </w:t>
            </w:r>
          </w:p>
        </w:tc>
      </w:tr>
      <w:tr w:rsidR="00F778E2" w:rsidRPr="00132239" w:rsidTr="00F778E2">
        <w:trPr>
          <w:trHeight w:val="435"/>
          <w:jc w:val="center"/>
        </w:trPr>
        <w:tc>
          <w:tcPr>
            <w:tcW w:w="2842" w:type="dxa"/>
            <w:tcBorders>
              <w:top w:val="nil"/>
              <w:left w:val="single" w:sz="8" w:space="0" w:color="auto"/>
              <w:bottom w:val="single" w:sz="4" w:space="0" w:color="auto"/>
              <w:right w:val="single" w:sz="4" w:space="0" w:color="auto"/>
            </w:tcBorders>
            <w:shd w:val="clear" w:color="auto" w:fill="auto"/>
            <w:noWrap/>
            <w:vAlign w:val="center"/>
            <w:hideMark/>
          </w:tcPr>
          <w:p w:rsidR="00F778E2" w:rsidRPr="00132239" w:rsidRDefault="00F778E2" w:rsidP="00F778E2">
            <w:pPr>
              <w:rPr>
                <w:sz w:val="16"/>
                <w:szCs w:val="16"/>
              </w:rPr>
            </w:pPr>
            <w:r w:rsidRPr="00132239">
              <w:rPr>
                <w:sz w:val="16"/>
                <w:szCs w:val="16"/>
              </w:rPr>
              <w:t>VIVIENDAS NUEVAS EN PROYECTOS</w:t>
            </w:r>
          </w:p>
        </w:tc>
        <w:tc>
          <w:tcPr>
            <w:tcW w:w="1553" w:type="dxa"/>
            <w:tcBorders>
              <w:top w:val="nil"/>
              <w:left w:val="nil"/>
              <w:bottom w:val="single" w:sz="4" w:space="0" w:color="auto"/>
              <w:right w:val="single" w:sz="4" w:space="0" w:color="auto"/>
            </w:tcBorders>
            <w:shd w:val="clear" w:color="auto" w:fill="auto"/>
            <w:noWrap/>
            <w:vAlign w:val="center"/>
            <w:hideMark/>
          </w:tcPr>
          <w:p w:rsidR="00F778E2" w:rsidRPr="00132239" w:rsidRDefault="00F778E2" w:rsidP="00F778E2">
            <w:pPr>
              <w:jc w:val="center"/>
              <w:rPr>
                <w:sz w:val="22"/>
                <w:szCs w:val="22"/>
              </w:rPr>
            </w:pPr>
            <w:r>
              <w:rPr>
                <w:sz w:val="22"/>
                <w:szCs w:val="22"/>
              </w:rPr>
              <w:t>741</w:t>
            </w:r>
          </w:p>
        </w:tc>
        <w:tc>
          <w:tcPr>
            <w:tcW w:w="1740" w:type="dxa"/>
            <w:tcBorders>
              <w:top w:val="nil"/>
              <w:left w:val="nil"/>
              <w:bottom w:val="single" w:sz="4" w:space="0" w:color="auto"/>
              <w:right w:val="single" w:sz="4" w:space="0" w:color="auto"/>
            </w:tcBorders>
            <w:shd w:val="clear" w:color="auto" w:fill="auto"/>
            <w:noWrap/>
            <w:vAlign w:val="center"/>
            <w:hideMark/>
          </w:tcPr>
          <w:p w:rsidR="00F778E2" w:rsidRPr="00132239" w:rsidRDefault="00F778E2" w:rsidP="00F778E2">
            <w:pPr>
              <w:jc w:val="center"/>
              <w:rPr>
                <w:sz w:val="22"/>
                <w:szCs w:val="22"/>
              </w:rPr>
            </w:pPr>
            <w:r w:rsidRPr="00132239">
              <w:rPr>
                <w:sz w:val="22"/>
                <w:szCs w:val="22"/>
              </w:rPr>
              <w:t>1,172</w:t>
            </w:r>
          </w:p>
        </w:tc>
        <w:tc>
          <w:tcPr>
            <w:tcW w:w="2045" w:type="dxa"/>
            <w:tcBorders>
              <w:top w:val="nil"/>
              <w:left w:val="nil"/>
              <w:bottom w:val="single" w:sz="4" w:space="0" w:color="auto"/>
              <w:right w:val="single" w:sz="8" w:space="0" w:color="auto"/>
            </w:tcBorders>
            <w:shd w:val="clear" w:color="auto" w:fill="auto"/>
            <w:noWrap/>
            <w:vAlign w:val="center"/>
            <w:hideMark/>
          </w:tcPr>
          <w:p w:rsidR="00F778E2" w:rsidRPr="00132239" w:rsidRDefault="00F778E2" w:rsidP="00F778E2">
            <w:pPr>
              <w:jc w:val="center"/>
              <w:rPr>
                <w:sz w:val="22"/>
                <w:szCs w:val="22"/>
              </w:rPr>
            </w:pPr>
            <w:r>
              <w:rPr>
                <w:sz w:val="22"/>
                <w:szCs w:val="22"/>
              </w:rPr>
              <w:t>1,913</w:t>
            </w:r>
          </w:p>
        </w:tc>
      </w:tr>
      <w:tr w:rsidR="00F778E2" w:rsidRPr="00132239" w:rsidTr="00F778E2">
        <w:trPr>
          <w:trHeight w:val="561"/>
          <w:jc w:val="center"/>
        </w:trPr>
        <w:tc>
          <w:tcPr>
            <w:tcW w:w="2842" w:type="dxa"/>
            <w:tcBorders>
              <w:top w:val="nil"/>
              <w:left w:val="single" w:sz="8" w:space="0" w:color="auto"/>
              <w:bottom w:val="single" w:sz="4" w:space="0" w:color="auto"/>
              <w:right w:val="single" w:sz="4" w:space="0" w:color="auto"/>
            </w:tcBorders>
            <w:shd w:val="clear" w:color="auto" w:fill="auto"/>
            <w:vAlign w:val="center"/>
            <w:hideMark/>
          </w:tcPr>
          <w:p w:rsidR="00F778E2" w:rsidRPr="00F778E2" w:rsidRDefault="00F778E2" w:rsidP="00F778E2">
            <w:pPr>
              <w:rPr>
                <w:sz w:val="16"/>
                <w:szCs w:val="16"/>
                <w:lang w:val="es-DO"/>
              </w:rPr>
            </w:pPr>
            <w:r w:rsidRPr="00F778E2">
              <w:rPr>
                <w:sz w:val="16"/>
                <w:szCs w:val="16"/>
                <w:lang w:val="es-DO"/>
              </w:rPr>
              <w:t>VIVIENDAS NUEVAS CONTRUIDAS  EN BLOCK Y MADERA</w:t>
            </w:r>
          </w:p>
        </w:tc>
        <w:tc>
          <w:tcPr>
            <w:tcW w:w="1553" w:type="dxa"/>
            <w:tcBorders>
              <w:top w:val="nil"/>
              <w:left w:val="nil"/>
              <w:bottom w:val="single" w:sz="4" w:space="0" w:color="auto"/>
              <w:right w:val="single" w:sz="4" w:space="0" w:color="auto"/>
            </w:tcBorders>
            <w:shd w:val="clear" w:color="auto" w:fill="auto"/>
            <w:noWrap/>
            <w:vAlign w:val="center"/>
            <w:hideMark/>
          </w:tcPr>
          <w:p w:rsidR="00F778E2" w:rsidRPr="00132239" w:rsidRDefault="00F778E2" w:rsidP="00F778E2">
            <w:pPr>
              <w:jc w:val="center"/>
              <w:rPr>
                <w:sz w:val="22"/>
                <w:szCs w:val="22"/>
              </w:rPr>
            </w:pPr>
            <w:r w:rsidRPr="00132239">
              <w:rPr>
                <w:sz w:val="22"/>
                <w:szCs w:val="22"/>
              </w:rPr>
              <w:t>769</w:t>
            </w:r>
          </w:p>
        </w:tc>
        <w:tc>
          <w:tcPr>
            <w:tcW w:w="1740" w:type="dxa"/>
            <w:tcBorders>
              <w:top w:val="nil"/>
              <w:left w:val="nil"/>
              <w:bottom w:val="single" w:sz="4" w:space="0" w:color="auto"/>
              <w:right w:val="single" w:sz="4" w:space="0" w:color="auto"/>
            </w:tcBorders>
            <w:shd w:val="clear" w:color="auto" w:fill="auto"/>
            <w:noWrap/>
            <w:vAlign w:val="center"/>
            <w:hideMark/>
          </w:tcPr>
          <w:p w:rsidR="00F778E2" w:rsidRPr="00132239" w:rsidRDefault="00F778E2" w:rsidP="00F778E2">
            <w:pPr>
              <w:jc w:val="center"/>
              <w:rPr>
                <w:sz w:val="22"/>
                <w:szCs w:val="22"/>
              </w:rPr>
            </w:pPr>
            <w:r w:rsidRPr="00132239">
              <w:rPr>
                <w:sz w:val="22"/>
                <w:szCs w:val="22"/>
              </w:rPr>
              <w:t>0.0</w:t>
            </w:r>
          </w:p>
        </w:tc>
        <w:tc>
          <w:tcPr>
            <w:tcW w:w="2045" w:type="dxa"/>
            <w:tcBorders>
              <w:top w:val="nil"/>
              <w:left w:val="nil"/>
              <w:bottom w:val="single" w:sz="4" w:space="0" w:color="auto"/>
              <w:right w:val="single" w:sz="8" w:space="0" w:color="auto"/>
            </w:tcBorders>
            <w:shd w:val="clear" w:color="auto" w:fill="auto"/>
            <w:noWrap/>
            <w:vAlign w:val="center"/>
            <w:hideMark/>
          </w:tcPr>
          <w:p w:rsidR="00F778E2" w:rsidRPr="00132239" w:rsidRDefault="00F778E2" w:rsidP="00F778E2">
            <w:pPr>
              <w:jc w:val="center"/>
              <w:rPr>
                <w:sz w:val="22"/>
                <w:szCs w:val="22"/>
              </w:rPr>
            </w:pPr>
            <w:r w:rsidRPr="00132239">
              <w:rPr>
                <w:sz w:val="22"/>
                <w:szCs w:val="22"/>
              </w:rPr>
              <w:t>769</w:t>
            </w:r>
          </w:p>
        </w:tc>
      </w:tr>
      <w:tr w:rsidR="00F778E2" w:rsidRPr="00132239" w:rsidTr="00F778E2">
        <w:trPr>
          <w:trHeight w:val="645"/>
          <w:jc w:val="center"/>
        </w:trPr>
        <w:tc>
          <w:tcPr>
            <w:tcW w:w="2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78E2" w:rsidRPr="00F778E2" w:rsidRDefault="00F778E2" w:rsidP="00F778E2">
            <w:pPr>
              <w:rPr>
                <w:sz w:val="16"/>
                <w:szCs w:val="16"/>
                <w:lang w:val="es-DO"/>
              </w:rPr>
            </w:pPr>
            <w:r w:rsidRPr="00F778E2">
              <w:rPr>
                <w:sz w:val="16"/>
                <w:szCs w:val="16"/>
                <w:lang w:val="es-DO"/>
              </w:rPr>
              <w:t>VIVIENDAS NUEVAS CONSTRUIDAS EN  MADERA</w:t>
            </w:r>
          </w:p>
        </w:tc>
        <w:tc>
          <w:tcPr>
            <w:tcW w:w="1553" w:type="dxa"/>
            <w:tcBorders>
              <w:top w:val="single" w:sz="4" w:space="0" w:color="auto"/>
              <w:left w:val="nil"/>
              <w:bottom w:val="single" w:sz="4" w:space="0" w:color="auto"/>
              <w:right w:val="single" w:sz="4" w:space="0" w:color="auto"/>
            </w:tcBorders>
            <w:shd w:val="clear" w:color="auto" w:fill="auto"/>
            <w:noWrap/>
            <w:vAlign w:val="center"/>
            <w:hideMark/>
          </w:tcPr>
          <w:p w:rsidR="00F778E2" w:rsidRPr="00132239" w:rsidRDefault="00F778E2" w:rsidP="00F778E2">
            <w:pPr>
              <w:jc w:val="center"/>
              <w:rPr>
                <w:sz w:val="22"/>
                <w:szCs w:val="22"/>
              </w:rPr>
            </w:pPr>
            <w:r w:rsidRPr="00132239">
              <w:rPr>
                <w:sz w:val="22"/>
                <w:szCs w:val="22"/>
              </w:rPr>
              <w:t>1,348</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F778E2" w:rsidRPr="00132239" w:rsidRDefault="00F778E2" w:rsidP="00F778E2">
            <w:pPr>
              <w:jc w:val="center"/>
              <w:rPr>
                <w:sz w:val="22"/>
                <w:szCs w:val="22"/>
              </w:rPr>
            </w:pPr>
            <w:r w:rsidRPr="00132239">
              <w:rPr>
                <w:sz w:val="22"/>
                <w:szCs w:val="22"/>
              </w:rPr>
              <w:t>0.0</w:t>
            </w:r>
          </w:p>
        </w:tc>
        <w:tc>
          <w:tcPr>
            <w:tcW w:w="2045" w:type="dxa"/>
            <w:tcBorders>
              <w:top w:val="single" w:sz="4" w:space="0" w:color="auto"/>
              <w:left w:val="nil"/>
              <w:bottom w:val="single" w:sz="4" w:space="0" w:color="auto"/>
              <w:right w:val="single" w:sz="4" w:space="0" w:color="auto"/>
            </w:tcBorders>
            <w:shd w:val="clear" w:color="auto" w:fill="auto"/>
            <w:noWrap/>
            <w:vAlign w:val="center"/>
            <w:hideMark/>
          </w:tcPr>
          <w:p w:rsidR="00F778E2" w:rsidRPr="00132239" w:rsidRDefault="00F778E2" w:rsidP="00F778E2">
            <w:pPr>
              <w:jc w:val="center"/>
              <w:rPr>
                <w:sz w:val="22"/>
                <w:szCs w:val="22"/>
              </w:rPr>
            </w:pPr>
            <w:r w:rsidRPr="00132239">
              <w:rPr>
                <w:sz w:val="22"/>
                <w:szCs w:val="22"/>
              </w:rPr>
              <w:t>1,348</w:t>
            </w:r>
          </w:p>
        </w:tc>
      </w:tr>
      <w:tr w:rsidR="00F778E2" w:rsidRPr="00132239" w:rsidTr="00F778E2">
        <w:trPr>
          <w:trHeight w:val="561"/>
          <w:jc w:val="center"/>
        </w:trPr>
        <w:tc>
          <w:tcPr>
            <w:tcW w:w="2842" w:type="dxa"/>
            <w:tcBorders>
              <w:top w:val="nil"/>
              <w:left w:val="single" w:sz="8" w:space="0" w:color="auto"/>
              <w:bottom w:val="single" w:sz="4" w:space="0" w:color="auto"/>
              <w:right w:val="single" w:sz="4" w:space="0" w:color="auto"/>
            </w:tcBorders>
            <w:shd w:val="clear" w:color="auto" w:fill="auto"/>
            <w:vAlign w:val="center"/>
            <w:hideMark/>
          </w:tcPr>
          <w:p w:rsidR="00F778E2" w:rsidRPr="00F778E2" w:rsidRDefault="00F778E2" w:rsidP="00F778E2">
            <w:pPr>
              <w:rPr>
                <w:sz w:val="16"/>
                <w:szCs w:val="16"/>
                <w:lang w:val="es-DO"/>
              </w:rPr>
            </w:pPr>
            <w:r w:rsidRPr="00F778E2">
              <w:rPr>
                <w:sz w:val="16"/>
                <w:szCs w:val="16"/>
                <w:lang w:val="es-DO"/>
              </w:rPr>
              <w:t>VIVIENDAS NUEVAS CONTRUIDAS  EN BLOCK Y TECHO DE CONCRETO</w:t>
            </w:r>
          </w:p>
        </w:tc>
        <w:tc>
          <w:tcPr>
            <w:tcW w:w="1553" w:type="dxa"/>
            <w:tcBorders>
              <w:top w:val="nil"/>
              <w:left w:val="nil"/>
              <w:bottom w:val="single" w:sz="4" w:space="0" w:color="auto"/>
              <w:right w:val="single" w:sz="4" w:space="0" w:color="auto"/>
            </w:tcBorders>
            <w:shd w:val="clear" w:color="auto" w:fill="auto"/>
            <w:noWrap/>
            <w:vAlign w:val="center"/>
            <w:hideMark/>
          </w:tcPr>
          <w:p w:rsidR="00F778E2" w:rsidRPr="00132239" w:rsidRDefault="00F778E2" w:rsidP="00F778E2">
            <w:pPr>
              <w:jc w:val="center"/>
              <w:rPr>
                <w:sz w:val="22"/>
                <w:szCs w:val="22"/>
              </w:rPr>
            </w:pPr>
            <w:r w:rsidRPr="00132239">
              <w:rPr>
                <w:sz w:val="22"/>
                <w:szCs w:val="22"/>
              </w:rPr>
              <w:t>3</w:t>
            </w:r>
          </w:p>
        </w:tc>
        <w:tc>
          <w:tcPr>
            <w:tcW w:w="1740" w:type="dxa"/>
            <w:tcBorders>
              <w:top w:val="nil"/>
              <w:left w:val="nil"/>
              <w:bottom w:val="single" w:sz="4" w:space="0" w:color="auto"/>
              <w:right w:val="single" w:sz="4" w:space="0" w:color="auto"/>
            </w:tcBorders>
            <w:shd w:val="clear" w:color="auto" w:fill="auto"/>
            <w:noWrap/>
            <w:vAlign w:val="center"/>
            <w:hideMark/>
          </w:tcPr>
          <w:p w:rsidR="00F778E2" w:rsidRPr="00132239" w:rsidRDefault="00F778E2" w:rsidP="00F778E2">
            <w:pPr>
              <w:jc w:val="center"/>
              <w:rPr>
                <w:sz w:val="22"/>
                <w:szCs w:val="22"/>
              </w:rPr>
            </w:pPr>
            <w:r w:rsidRPr="00132239">
              <w:rPr>
                <w:sz w:val="22"/>
                <w:szCs w:val="22"/>
              </w:rPr>
              <w:t>0.0</w:t>
            </w:r>
          </w:p>
        </w:tc>
        <w:tc>
          <w:tcPr>
            <w:tcW w:w="2045" w:type="dxa"/>
            <w:tcBorders>
              <w:top w:val="nil"/>
              <w:left w:val="nil"/>
              <w:bottom w:val="single" w:sz="4" w:space="0" w:color="auto"/>
              <w:right w:val="single" w:sz="8" w:space="0" w:color="auto"/>
            </w:tcBorders>
            <w:shd w:val="clear" w:color="auto" w:fill="auto"/>
            <w:noWrap/>
            <w:vAlign w:val="center"/>
            <w:hideMark/>
          </w:tcPr>
          <w:p w:rsidR="00F778E2" w:rsidRPr="00132239" w:rsidRDefault="00F778E2" w:rsidP="00F778E2">
            <w:pPr>
              <w:jc w:val="center"/>
              <w:rPr>
                <w:sz w:val="22"/>
                <w:szCs w:val="22"/>
              </w:rPr>
            </w:pPr>
            <w:r w:rsidRPr="00132239">
              <w:rPr>
                <w:sz w:val="22"/>
                <w:szCs w:val="22"/>
              </w:rPr>
              <w:t>3</w:t>
            </w:r>
          </w:p>
        </w:tc>
      </w:tr>
      <w:tr w:rsidR="00F778E2" w:rsidRPr="00132239" w:rsidTr="00F778E2">
        <w:trPr>
          <w:trHeight w:val="561"/>
          <w:jc w:val="center"/>
        </w:trPr>
        <w:tc>
          <w:tcPr>
            <w:tcW w:w="2842" w:type="dxa"/>
            <w:tcBorders>
              <w:top w:val="nil"/>
              <w:left w:val="single" w:sz="8" w:space="0" w:color="auto"/>
              <w:bottom w:val="single" w:sz="4" w:space="0" w:color="auto"/>
              <w:right w:val="single" w:sz="4" w:space="0" w:color="auto"/>
            </w:tcBorders>
            <w:shd w:val="clear" w:color="auto" w:fill="auto"/>
            <w:vAlign w:val="center"/>
            <w:hideMark/>
          </w:tcPr>
          <w:p w:rsidR="00F778E2" w:rsidRPr="00F778E2" w:rsidRDefault="00F778E2" w:rsidP="00F778E2">
            <w:pPr>
              <w:rPr>
                <w:sz w:val="16"/>
                <w:szCs w:val="16"/>
                <w:lang w:val="es-DO"/>
              </w:rPr>
            </w:pPr>
            <w:r w:rsidRPr="00F778E2">
              <w:rPr>
                <w:sz w:val="16"/>
                <w:szCs w:val="16"/>
                <w:lang w:val="es-DO"/>
              </w:rPr>
              <w:t>VIVIENDAS NUEVAS CONTRUIDAS  EN BLOCK Y TECHO DE ZINC</w:t>
            </w:r>
          </w:p>
        </w:tc>
        <w:tc>
          <w:tcPr>
            <w:tcW w:w="1553" w:type="dxa"/>
            <w:tcBorders>
              <w:top w:val="nil"/>
              <w:left w:val="nil"/>
              <w:bottom w:val="single" w:sz="4" w:space="0" w:color="auto"/>
              <w:right w:val="single" w:sz="4" w:space="0" w:color="auto"/>
            </w:tcBorders>
            <w:shd w:val="clear" w:color="auto" w:fill="auto"/>
            <w:noWrap/>
            <w:vAlign w:val="center"/>
            <w:hideMark/>
          </w:tcPr>
          <w:p w:rsidR="00F778E2" w:rsidRPr="00132239" w:rsidRDefault="00F778E2" w:rsidP="00F778E2">
            <w:pPr>
              <w:jc w:val="center"/>
              <w:rPr>
                <w:sz w:val="22"/>
                <w:szCs w:val="22"/>
              </w:rPr>
            </w:pPr>
            <w:r w:rsidRPr="00132239">
              <w:rPr>
                <w:sz w:val="22"/>
                <w:szCs w:val="22"/>
              </w:rPr>
              <w:t>3</w:t>
            </w:r>
          </w:p>
        </w:tc>
        <w:tc>
          <w:tcPr>
            <w:tcW w:w="1740" w:type="dxa"/>
            <w:tcBorders>
              <w:top w:val="nil"/>
              <w:left w:val="nil"/>
              <w:bottom w:val="single" w:sz="4" w:space="0" w:color="auto"/>
              <w:right w:val="single" w:sz="4" w:space="0" w:color="auto"/>
            </w:tcBorders>
            <w:shd w:val="clear" w:color="auto" w:fill="auto"/>
            <w:noWrap/>
            <w:vAlign w:val="center"/>
            <w:hideMark/>
          </w:tcPr>
          <w:p w:rsidR="00F778E2" w:rsidRPr="00132239" w:rsidRDefault="00F778E2" w:rsidP="00F778E2">
            <w:pPr>
              <w:jc w:val="center"/>
              <w:rPr>
                <w:sz w:val="22"/>
                <w:szCs w:val="22"/>
              </w:rPr>
            </w:pPr>
            <w:r w:rsidRPr="00132239">
              <w:rPr>
                <w:sz w:val="22"/>
                <w:szCs w:val="22"/>
              </w:rPr>
              <w:t>0.0</w:t>
            </w:r>
          </w:p>
        </w:tc>
        <w:tc>
          <w:tcPr>
            <w:tcW w:w="2045" w:type="dxa"/>
            <w:tcBorders>
              <w:top w:val="nil"/>
              <w:left w:val="nil"/>
              <w:bottom w:val="single" w:sz="4" w:space="0" w:color="auto"/>
              <w:right w:val="single" w:sz="8" w:space="0" w:color="auto"/>
            </w:tcBorders>
            <w:shd w:val="clear" w:color="auto" w:fill="auto"/>
            <w:noWrap/>
            <w:vAlign w:val="center"/>
            <w:hideMark/>
          </w:tcPr>
          <w:p w:rsidR="00F778E2" w:rsidRPr="00132239" w:rsidRDefault="00F778E2" w:rsidP="00F778E2">
            <w:pPr>
              <w:jc w:val="center"/>
              <w:rPr>
                <w:sz w:val="22"/>
                <w:szCs w:val="22"/>
              </w:rPr>
            </w:pPr>
            <w:r w:rsidRPr="00132239">
              <w:rPr>
                <w:sz w:val="22"/>
                <w:szCs w:val="22"/>
              </w:rPr>
              <w:t>3</w:t>
            </w:r>
          </w:p>
        </w:tc>
      </w:tr>
      <w:tr w:rsidR="00F778E2" w:rsidRPr="00132239" w:rsidTr="00F778E2">
        <w:trPr>
          <w:trHeight w:val="323"/>
          <w:jc w:val="center"/>
        </w:trPr>
        <w:tc>
          <w:tcPr>
            <w:tcW w:w="2842" w:type="dxa"/>
            <w:tcBorders>
              <w:top w:val="nil"/>
              <w:left w:val="single" w:sz="8" w:space="0" w:color="auto"/>
              <w:bottom w:val="single" w:sz="4" w:space="0" w:color="auto"/>
              <w:right w:val="single" w:sz="4" w:space="0" w:color="auto"/>
            </w:tcBorders>
            <w:shd w:val="clear" w:color="auto" w:fill="auto"/>
            <w:vAlign w:val="center"/>
            <w:hideMark/>
          </w:tcPr>
          <w:p w:rsidR="00F778E2" w:rsidRPr="00132239" w:rsidRDefault="00F778E2" w:rsidP="00F778E2">
            <w:pPr>
              <w:rPr>
                <w:b/>
                <w:bCs/>
              </w:rPr>
            </w:pPr>
            <w:r w:rsidRPr="00132239">
              <w:rPr>
                <w:b/>
                <w:bCs/>
              </w:rPr>
              <w:t xml:space="preserve">SUB-TOTAL </w:t>
            </w:r>
          </w:p>
        </w:tc>
        <w:tc>
          <w:tcPr>
            <w:tcW w:w="1553" w:type="dxa"/>
            <w:tcBorders>
              <w:top w:val="nil"/>
              <w:left w:val="nil"/>
              <w:bottom w:val="single" w:sz="4" w:space="0" w:color="auto"/>
              <w:right w:val="single" w:sz="4" w:space="0" w:color="auto"/>
            </w:tcBorders>
            <w:shd w:val="clear" w:color="auto" w:fill="auto"/>
            <w:noWrap/>
            <w:vAlign w:val="center"/>
            <w:hideMark/>
          </w:tcPr>
          <w:p w:rsidR="00F778E2" w:rsidRPr="00132239" w:rsidRDefault="00F778E2" w:rsidP="00F778E2">
            <w:pPr>
              <w:jc w:val="center"/>
              <w:rPr>
                <w:b/>
                <w:bCs/>
                <w:sz w:val="22"/>
                <w:szCs w:val="22"/>
              </w:rPr>
            </w:pPr>
            <w:r w:rsidRPr="00132239">
              <w:rPr>
                <w:b/>
                <w:bCs/>
                <w:sz w:val="22"/>
                <w:szCs w:val="22"/>
              </w:rPr>
              <w:t>2,</w:t>
            </w:r>
            <w:r>
              <w:rPr>
                <w:b/>
                <w:bCs/>
                <w:sz w:val="22"/>
                <w:szCs w:val="22"/>
              </w:rPr>
              <w:t>864</w:t>
            </w:r>
          </w:p>
        </w:tc>
        <w:tc>
          <w:tcPr>
            <w:tcW w:w="1740" w:type="dxa"/>
            <w:tcBorders>
              <w:top w:val="nil"/>
              <w:left w:val="nil"/>
              <w:bottom w:val="single" w:sz="4" w:space="0" w:color="auto"/>
              <w:right w:val="single" w:sz="4" w:space="0" w:color="auto"/>
            </w:tcBorders>
            <w:shd w:val="clear" w:color="auto" w:fill="auto"/>
            <w:noWrap/>
            <w:vAlign w:val="center"/>
            <w:hideMark/>
          </w:tcPr>
          <w:p w:rsidR="00F778E2" w:rsidRPr="00132239" w:rsidRDefault="00F778E2" w:rsidP="00F778E2">
            <w:pPr>
              <w:jc w:val="center"/>
              <w:rPr>
                <w:b/>
                <w:bCs/>
                <w:sz w:val="22"/>
                <w:szCs w:val="22"/>
              </w:rPr>
            </w:pPr>
            <w:r w:rsidRPr="00132239">
              <w:rPr>
                <w:b/>
                <w:bCs/>
                <w:sz w:val="22"/>
                <w:szCs w:val="22"/>
              </w:rPr>
              <w:t>1,172</w:t>
            </w:r>
          </w:p>
        </w:tc>
        <w:tc>
          <w:tcPr>
            <w:tcW w:w="2045" w:type="dxa"/>
            <w:tcBorders>
              <w:top w:val="nil"/>
              <w:left w:val="nil"/>
              <w:bottom w:val="single" w:sz="4" w:space="0" w:color="auto"/>
              <w:right w:val="single" w:sz="8" w:space="0" w:color="auto"/>
            </w:tcBorders>
            <w:shd w:val="clear" w:color="auto" w:fill="auto"/>
            <w:noWrap/>
            <w:vAlign w:val="center"/>
            <w:hideMark/>
          </w:tcPr>
          <w:p w:rsidR="00F778E2" w:rsidRPr="00132239" w:rsidRDefault="00F778E2" w:rsidP="00F778E2">
            <w:pPr>
              <w:jc w:val="center"/>
              <w:rPr>
                <w:b/>
                <w:bCs/>
                <w:sz w:val="22"/>
                <w:szCs w:val="22"/>
              </w:rPr>
            </w:pPr>
            <w:r>
              <w:rPr>
                <w:b/>
                <w:bCs/>
                <w:sz w:val="22"/>
                <w:szCs w:val="22"/>
              </w:rPr>
              <w:t>4,036</w:t>
            </w:r>
          </w:p>
        </w:tc>
      </w:tr>
      <w:tr w:rsidR="00F778E2" w:rsidRPr="00132239" w:rsidTr="00F778E2">
        <w:trPr>
          <w:trHeight w:val="569"/>
          <w:jc w:val="center"/>
        </w:trPr>
        <w:tc>
          <w:tcPr>
            <w:tcW w:w="2842" w:type="dxa"/>
            <w:tcBorders>
              <w:top w:val="nil"/>
              <w:left w:val="single" w:sz="8" w:space="0" w:color="auto"/>
              <w:bottom w:val="single" w:sz="4" w:space="0" w:color="auto"/>
              <w:right w:val="single" w:sz="4" w:space="0" w:color="auto"/>
            </w:tcBorders>
            <w:shd w:val="clear" w:color="auto" w:fill="auto"/>
            <w:vAlign w:val="center"/>
            <w:hideMark/>
          </w:tcPr>
          <w:p w:rsidR="00F778E2" w:rsidRPr="00F778E2" w:rsidRDefault="00F778E2" w:rsidP="00F778E2">
            <w:pPr>
              <w:rPr>
                <w:sz w:val="16"/>
                <w:szCs w:val="16"/>
                <w:lang w:val="es-DO"/>
              </w:rPr>
            </w:pPr>
            <w:r w:rsidRPr="00F778E2">
              <w:rPr>
                <w:sz w:val="16"/>
                <w:szCs w:val="16"/>
                <w:lang w:val="es-DO"/>
              </w:rPr>
              <w:t>MEJORAMIENTO DE VIVIVENDAS REPARADAS PARCIALMENTE</w:t>
            </w:r>
          </w:p>
        </w:tc>
        <w:tc>
          <w:tcPr>
            <w:tcW w:w="1553" w:type="dxa"/>
            <w:tcBorders>
              <w:top w:val="nil"/>
              <w:left w:val="nil"/>
              <w:bottom w:val="single" w:sz="4" w:space="0" w:color="auto"/>
              <w:right w:val="single" w:sz="4" w:space="0" w:color="auto"/>
            </w:tcBorders>
            <w:shd w:val="clear" w:color="auto" w:fill="auto"/>
            <w:noWrap/>
            <w:vAlign w:val="center"/>
            <w:hideMark/>
          </w:tcPr>
          <w:p w:rsidR="00F778E2" w:rsidRPr="00132239" w:rsidRDefault="00F778E2" w:rsidP="00F778E2">
            <w:pPr>
              <w:jc w:val="center"/>
              <w:rPr>
                <w:sz w:val="22"/>
                <w:szCs w:val="22"/>
              </w:rPr>
            </w:pPr>
            <w:r w:rsidRPr="00132239">
              <w:rPr>
                <w:sz w:val="22"/>
                <w:szCs w:val="22"/>
              </w:rPr>
              <w:t>2,050</w:t>
            </w:r>
          </w:p>
        </w:tc>
        <w:tc>
          <w:tcPr>
            <w:tcW w:w="1740" w:type="dxa"/>
            <w:tcBorders>
              <w:top w:val="nil"/>
              <w:left w:val="nil"/>
              <w:bottom w:val="single" w:sz="4" w:space="0" w:color="auto"/>
              <w:right w:val="single" w:sz="4" w:space="0" w:color="auto"/>
            </w:tcBorders>
            <w:shd w:val="clear" w:color="auto" w:fill="auto"/>
            <w:noWrap/>
            <w:vAlign w:val="center"/>
            <w:hideMark/>
          </w:tcPr>
          <w:p w:rsidR="00F778E2" w:rsidRPr="00132239" w:rsidRDefault="00F778E2" w:rsidP="00F778E2">
            <w:pPr>
              <w:jc w:val="center"/>
              <w:rPr>
                <w:sz w:val="22"/>
                <w:szCs w:val="22"/>
              </w:rPr>
            </w:pPr>
            <w:r w:rsidRPr="00132239">
              <w:rPr>
                <w:sz w:val="22"/>
                <w:szCs w:val="22"/>
              </w:rPr>
              <w:t>0.0</w:t>
            </w:r>
          </w:p>
        </w:tc>
        <w:tc>
          <w:tcPr>
            <w:tcW w:w="2045" w:type="dxa"/>
            <w:tcBorders>
              <w:top w:val="nil"/>
              <w:left w:val="nil"/>
              <w:bottom w:val="single" w:sz="4" w:space="0" w:color="auto"/>
              <w:right w:val="single" w:sz="8" w:space="0" w:color="auto"/>
            </w:tcBorders>
            <w:shd w:val="clear" w:color="auto" w:fill="auto"/>
            <w:noWrap/>
            <w:vAlign w:val="center"/>
            <w:hideMark/>
          </w:tcPr>
          <w:p w:rsidR="00F778E2" w:rsidRPr="00132239" w:rsidRDefault="00F778E2" w:rsidP="00F778E2">
            <w:pPr>
              <w:jc w:val="center"/>
              <w:rPr>
                <w:sz w:val="22"/>
                <w:szCs w:val="22"/>
              </w:rPr>
            </w:pPr>
            <w:r w:rsidRPr="00132239">
              <w:rPr>
                <w:sz w:val="22"/>
                <w:szCs w:val="22"/>
              </w:rPr>
              <w:t>2,050</w:t>
            </w:r>
          </w:p>
        </w:tc>
      </w:tr>
      <w:tr w:rsidR="00F778E2" w:rsidRPr="00132239" w:rsidTr="00F778E2">
        <w:trPr>
          <w:trHeight w:val="615"/>
          <w:jc w:val="center"/>
        </w:trPr>
        <w:tc>
          <w:tcPr>
            <w:tcW w:w="2842" w:type="dxa"/>
            <w:tcBorders>
              <w:top w:val="nil"/>
              <w:left w:val="single" w:sz="8" w:space="0" w:color="auto"/>
              <w:bottom w:val="single" w:sz="4" w:space="0" w:color="auto"/>
              <w:right w:val="single" w:sz="4" w:space="0" w:color="auto"/>
            </w:tcBorders>
            <w:shd w:val="clear" w:color="auto" w:fill="auto"/>
            <w:vAlign w:val="center"/>
            <w:hideMark/>
          </w:tcPr>
          <w:p w:rsidR="00F778E2" w:rsidRPr="00F778E2" w:rsidRDefault="00F778E2" w:rsidP="00F778E2">
            <w:pPr>
              <w:rPr>
                <w:sz w:val="16"/>
                <w:szCs w:val="16"/>
                <w:lang w:val="es-DO"/>
              </w:rPr>
            </w:pPr>
            <w:r w:rsidRPr="00F778E2">
              <w:rPr>
                <w:sz w:val="16"/>
                <w:szCs w:val="16"/>
                <w:lang w:val="es-DO"/>
              </w:rPr>
              <w:t>CAMBIO DE PISO DE TIERRA POR PISO DE CEMENTO</w:t>
            </w:r>
          </w:p>
        </w:tc>
        <w:tc>
          <w:tcPr>
            <w:tcW w:w="1553" w:type="dxa"/>
            <w:tcBorders>
              <w:top w:val="nil"/>
              <w:left w:val="nil"/>
              <w:bottom w:val="single" w:sz="4" w:space="0" w:color="auto"/>
              <w:right w:val="single" w:sz="4" w:space="0" w:color="auto"/>
            </w:tcBorders>
            <w:shd w:val="clear" w:color="auto" w:fill="auto"/>
            <w:noWrap/>
            <w:vAlign w:val="center"/>
            <w:hideMark/>
          </w:tcPr>
          <w:p w:rsidR="00F778E2" w:rsidRPr="00132239" w:rsidRDefault="00F778E2" w:rsidP="00F778E2">
            <w:pPr>
              <w:jc w:val="center"/>
              <w:rPr>
                <w:sz w:val="22"/>
                <w:szCs w:val="22"/>
              </w:rPr>
            </w:pPr>
            <w:r w:rsidRPr="00132239">
              <w:rPr>
                <w:sz w:val="22"/>
                <w:szCs w:val="22"/>
              </w:rPr>
              <w:t>2,182</w:t>
            </w:r>
          </w:p>
        </w:tc>
        <w:tc>
          <w:tcPr>
            <w:tcW w:w="1740" w:type="dxa"/>
            <w:tcBorders>
              <w:top w:val="nil"/>
              <w:left w:val="nil"/>
              <w:bottom w:val="single" w:sz="4" w:space="0" w:color="auto"/>
              <w:right w:val="single" w:sz="4" w:space="0" w:color="auto"/>
            </w:tcBorders>
            <w:shd w:val="clear" w:color="auto" w:fill="auto"/>
            <w:noWrap/>
            <w:vAlign w:val="center"/>
            <w:hideMark/>
          </w:tcPr>
          <w:p w:rsidR="00F778E2" w:rsidRPr="00132239" w:rsidRDefault="00F778E2" w:rsidP="00F778E2">
            <w:pPr>
              <w:jc w:val="center"/>
              <w:rPr>
                <w:sz w:val="22"/>
                <w:szCs w:val="22"/>
              </w:rPr>
            </w:pPr>
            <w:r w:rsidRPr="00132239">
              <w:rPr>
                <w:sz w:val="22"/>
                <w:szCs w:val="22"/>
              </w:rPr>
              <w:t>0.0</w:t>
            </w:r>
          </w:p>
        </w:tc>
        <w:tc>
          <w:tcPr>
            <w:tcW w:w="2045" w:type="dxa"/>
            <w:tcBorders>
              <w:top w:val="nil"/>
              <w:left w:val="nil"/>
              <w:bottom w:val="single" w:sz="4" w:space="0" w:color="auto"/>
              <w:right w:val="single" w:sz="8" w:space="0" w:color="auto"/>
            </w:tcBorders>
            <w:shd w:val="clear" w:color="auto" w:fill="auto"/>
            <w:noWrap/>
            <w:vAlign w:val="center"/>
            <w:hideMark/>
          </w:tcPr>
          <w:p w:rsidR="00F778E2" w:rsidRPr="00132239" w:rsidRDefault="00F778E2" w:rsidP="00F778E2">
            <w:pPr>
              <w:jc w:val="center"/>
              <w:rPr>
                <w:sz w:val="22"/>
                <w:szCs w:val="22"/>
              </w:rPr>
            </w:pPr>
            <w:r w:rsidRPr="00132239">
              <w:rPr>
                <w:sz w:val="22"/>
                <w:szCs w:val="22"/>
              </w:rPr>
              <w:t>2,182</w:t>
            </w:r>
          </w:p>
        </w:tc>
      </w:tr>
      <w:tr w:rsidR="00F778E2" w:rsidRPr="00132239" w:rsidTr="00F778E2">
        <w:trPr>
          <w:trHeight w:val="435"/>
          <w:jc w:val="center"/>
        </w:trPr>
        <w:tc>
          <w:tcPr>
            <w:tcW w:w="2842" w:type="dxa"/>
            <w:tcBorders>
              <w:top w:val="nil"/>
              <w:left w:val="single" w:sz="8" w:space="0" w:color="auto"/>
              <w:bottom w:val="single" w:sz="4" w:space="0" w:color="auto"/>
              <w:right w:val="single" w:sz="4" w:space="0" w:color="auto"/>
            </w:tcBorders>
            <w:shd w:val="clear" w:color="auto" w:fill="auto"/>
            <w:vAlign w:val="center"/>
            <w:hideMark/>
          </w:tcPr>
          <w:p w:rsidR="00F778E2" w:rsidRPr="00132239" w:rsidRDefault="00F778E2" w:rsidP="00F778E2">
            <w:pPr>
              <w:rPr>
                <w:sz w:val="16"/>
                <w:szCs w:val="16"/>
              </w:rPr>
            </w:pPr>
            <w:r w:rsidRPr="00132239">
              <w:rPr>
                <w:sz w:val="16"/>
                <w:szCs w:val="16"/>
              </w:rPr>
              <w:t>VIVIENDAS PINTADAS</w:t>
            </w:r>
          </w:p>
        </w:tc>
        <w:tc>
          <w:tcPr>
            <w:tcW w:w="1553" w:type="dxa"/>
            <w:tcBorders>
              <w:top w:val="nil"/>
              <w:left w:val="nil"/>
              <w:bottom w:val="single" w:sz="4" w:space="0" w:color="auto"/>
              <w:right w:val="single" w:sz="4" w:space="0" w:color="auto"/>
            </w:tcBorders>
            <w:shd w:val="clear" w:color="auto" w:fill="auto"/>
            <w:noWrap/>
            <w:vAlign w:val="center"/>
            <w:hideMark/>
          </w:tcPr>
          <w:p w:rsidR="00F778E2" w:rsidRPr="00132239" w:rsidRDefault="00F778E2" w:rsidP="00F778E2">
            <w:pPr>
              <w:jc w:val="center"/>
              <w:rPr>
                <w:sz w:val="22"/>
                <w:szCs w:val="22"/>
              </w:rPr>
            </w:pPr>
            <w:r w:rsidRPr="00132239">
              <w:rPr>
                <w:sz w:val="22"/>
                <w:szCs w:val="22"/>
              </w:rPr>
              <w:t>4,771</w:t>
            </w:r>
          </w:p>
        </w:tc>
        <w:tc>
          <w:tcPr>
            <w:tcW w:w="1740" w:type="dxa"/>
            <w:tcBorders>
              <w:top w:val="nil"/>
              <w:left w:val="nil"/>
              <w:bottom w:val="single" w:sz="4" w:space="0" w:color="auto"/>
              <w:right w:val="single" w:sz="4" w:space="0" w:color="auto"/>
            </w:tcBorders>
            <w:shd w:val="clear" w:color="auto" w:fill="auto"/>
            <w:noWrap/>
            <w:vAlign w:val="center"/>
            <w:hideMark/>
          </w:tcPr>
          <w:p w:rsidR="00F778E2" w:rsidRPr="00132239" w:rsidRDefault="00F778E2" w:rsidP="00F778E2">
            <w:pPr>
              <w:jc w:val="center"/>
              <w:rPr>
                <w:sz w:val="22"/>
                <w:szCs w:val="22"/>
              </w:rPr>
            </w:pPr>
            <w:r w:rsidRPr="00132239">
              <w:rPr>
                <w:sz w:val="22"/>
                <w:szCs w:val="22"/>
              </w:rPr>
              <w:t>0.0</w:t>
            </w:r>
          </w:p>
        </w:tc>
        <w:tc>
          <w:tcPr>
            <w:tcW w:w="2045" w:type="dxa"/>
            <w:tcBorders>
              <w:top w:val="nil"/>
              <w:left w:val="nil"/>
              <w:bottom w:val="single" w:sz="4" w:space="0" w:color="auto"/>
              <w:right w:val="single" w:sz="8" w:space="0" w:color="auto"/>
            </w:tcBorders>
            <w:shd w:val="clear" w:color="auto" w:fill="auto"/>
            <w:noWrap/>
            <w:vAlign w:val="center"/>
            <w:hideMark/>
          </w:tcPr>
          <w:p w:rsidR="00F778E2" w:rsidRPr="00132239" w:rsidRDefault="00F778E2" w:rsidP="00F778E2">
            <w:pPr>
              <w:jc w:val="center"/>
              <w:rPr>
                <w:sz w:val="22"/>
                <w:szCs w:val="22"/>
              </w:rPr>
            </w:pPr>
            <w:r w:rsidRPr="00132239">
              <w:rPr>
                <w:sz w:val="22"/>
                <w:szCs w:val="22"/>
              </w:rPr>
              <w:t>4,771</w:t>
            </w:r>
          </w:p>
        </w:tc>
      </w:tr>
      <w:tr w:rsidR="00F778E2" w:rsidRPr="00132239" w:rsidTr="00F778E2">
        <w:trPr>
          <w:trHeight w:val="555"/>
          <w:jc w:val="center"/>
        </w:trPr>
        <w:tc>
          <w:tcPr>
            <w:tcW w:w="2842" w:type="dxa"/>
            <w:tcBorders>
              <w:top w:val="nil"/>
              <w:left w:val="single" w:sz="8" w:space="0" w:color="auto"/>
              <w:bottom w:val="single" w:sz="4" w:space="0" w:color="auto"/>
              <w:right w:val="single" w:sz="4" w:space="0" w:color="auto"/>
            </w:tcBorders>
            <w:shd w:val="clear" w:color="auto" w:fill="auto"/>
            <w:vAlign w:val="center"/>
            <w:hideMark/>
          </w:tcPr>
          <w:p w:rsidR="00F778E2" w:rsidRPr="00F778E2" w:rsidRDefault="00F778E2" w:rsidP="00F778E2">
            <w:pPr>
              <w:rPr>
                <w:sz w:val="16"/>
                <w:szCs w:val="16"/>
                <w:lang w:val="es-DO"/>
              </w:rPr>
            </w:pPr>
            <w:r w:rsidRPr="00F778E2">
              <w:rPr>
                <w:sz w:val="16"/>
                <w:szCs w:val="16"/>
                <w:lang w:val="es-DO"/>
              </w:rPr>
              <w:t>UNIDADES DE SERVICIO SANITARIO INSTALADAS</w:t>
            </w:r>
          </w:p>
        </w:tc>
        <w:tc>
          <w:tcPr>
            <w:tcW w:w="1553" w:type="dxa"/>
            <w:tcBorders>
              <w:top w:val="nil"/>
              <w:left w:val="nil"/>
              <w:bottom w:val="single" w:sz="4" w:space="0" w:color="auto"/>
              <w:right w:val="single" w:sz="4" w:space="0" w:color="auto"/>
            </w:tcBorders>
            <w:shd w:val="clear" w:color="auto" w:fill="auto"/>
            <w:noWrap/>
            <w:vAlign w:val="center"/>
            <w:hideMark/>
          </w:tcPr>
          <w:p w:rsidR="00F778E2" w:rsidRPr="00132239" w:rsidRDefault="00F778E2" w:rsidP="00F778E2">
            <w:pPr>
              <w:jc w:val="center"/>
              <w:rPr>
                <w:sz w:val="22"/>
                <w:szCs w:val="22"/>
              </w:rPr>
            </w:pPr>
            <w:r w:rsidRPr="00132239">
              <w:rPr>
                <w:sz w:val="22"/>
                <w:szCs w:val="22"/>
              </w:rPr>
              <w:t>1,192</w:t>
            </w:r>
          </w:p>
        </w:tc>
        <w:tc>
          <w:tcPr>
            <w:tcW w:w="1740" w:type="dxa"/>
            <w:tcBorders>
              <w:top w:val="nil"/>
              <w:left w:val="nil"/>
              <w:bottom w:val="single" w:sz="4" w:space="0" w:color="auto"/>
              <w:right w:val="single" w:sz="4" w:space="0" w:color="auto"/>
            </w:tcBorders>
            <w:shd w:val="clear" w:color="auto" w:fill="auto"/>
            <w:noWrap/>
            <w:vAlign w:val="center"/>
            <w:hideMark/>
          </w:tcPr>
          <w:p w:rsidR="00F778E2" w:rsidRPr="00132239" w:rsidRDefault="00F778E2" w:rsidP="00F778E2">
            <w:pPr>
              <w:jc w:val="center"/>
              <w:rPr>
                <w:sz w:val="22"/>
                <w:szCs w:val="22"/>
              </w:rPr>
            </w:pPr>
            <w:r w:rsidRPr="00132239">
              <w:rPr>
                <w:sz w:val="22"/>
                <w:szCs w:val="22"/>
              </w:rPr>
              <w:t>0.0</w:t>
            </w:r>
          </w:p>
        </w:tc>
        <w:tc>
          <w:tcPr>
            <w:tcW w:w="2045" w:type="dxa"/>
            <w:tcBorders>
              <w:top w:val="nil"/>
              <w:left w:val="nil"/>
              <w:bottom w:val="single" w:sz="4" w:space="0" w:color="auto"/>
              <w:right w:val="single" w:sz="8" w:space="0" w:color="auto"/>
            </w:tcBorders>
            <w:shd w:val="clear" w:color="auto" w:fill="auto"/>
            <w:noWrap/>
            <w:vAlign w:val="center"/>
            <w:hideMark/>
          </w:tcPr>
          <w:p w:rsidR="00F778E2" w:rsidRPr="00132239" w:rsidRDefault="00F778E2" w:rsidP="00F778E2">
            <w:pPr>
              <w:jc w:val="center"/>
              <w:rPr>
                <w:sz w:val="22"/>
                <w:szCs w:val="22"/>
              </w:rPr>
            </w:pPr>
            <w:r w:rsidRPr="00132239">
              <w:rPr>
                <w:sz w:val="22"/>
                <w:szCs w:val="22"/>
              </w:rPr>
              <w:t>1,192</w:t>
            </w:r>
          </w:p>
        </w:tc>
      </w:tr>
      <w:tr w:rsidR="00F778E2" w:rsidRPr="00132239" w:rsidTr="00F778E2">
        <w:trPr>
          <w:trHeight w:val="585"/>
          <w:jc w:val="center"/>
        </w:trPr>
        <w:tc>
          <w:tcPr>
            <w:tcW w:w="2842" w:type="dxa"/>
            <w:tcBorders>
              <w:top w:val="nil"/>
              <w:left w:val="single" w:sz="8" w:space="0" w:color="auto"/>
              <w:bottom w:val="single" w:sz="4" w:space="0" w:color="auto"/>
              <w:right w:val="single" w:sz="4" w:space="0" w:color="auto"/>
            </w:tcBorders>
            <w:shd w:val="clear" w:color="auto" w:fill="auto"/>
            <w:vAlign w:val="center"/>
            <w:hideMark/>
          </w:tcPr>
          <w:p w:rsidR="00F778E2" w:rsidRPr="00F778E2" w:rsidRDefault="00F778E2" w:rsidP="00F778E2">
            <w:pPr>
              <w:rPr>
                <w:sz w:val="16"/>
                <w:szCs w:val="16"/>
                <w:lang w:val="es-DO"/>
              </w:rPr>
            </w:pPr>
            <w:r w:rsidRPr="00F778E2">
              <w:rPr>
                <w:sz w:val="16"/>
                <w:szCs w:val="16"/>
                <w:lang w:val="es-DO"/>
              </w:rPr>
              <w:t>SUSTITUCION DE CARBON Y LEÑA POR ESTUFA Y GAS</w:t>
            </w:r>
          </w:p>
        </w:tc>
        <w:tc>
          <w:tcPr>
            <w:tcW w:w="1553" w:type="dxa"/>
            <w:tcBorders>
              <w:top w:val="nil"/>
              <w:left w:val="nil"/>
              <w:bottom w:val="single" w:sz="4" w:space="0" w:color="auto"/>
              <w:right w:val="single" w:sz="4" w:space="0" w:color="auto"/>
            </w:tcBorders>
            <w:shd w:val="clear" w:color="auto" w:fill="auto"/>
            <w:noWrap/>
            <w:vAlign w:val="center"/>
            <w:hideMark/>
          </w:tcPr>
          <w:p w:rsidR="00F778E2" w:rsidRPr="00132239" w:rsidRDefault="00F778E2" w:rsidP="00F778E2">
            <w:pPr>
              <w:jc w:val="center"/>
              <w:rPr>
                <w:sz w:val="22"/>
                <w:szCs w:val="22"/>
              </w:rPr>
            </w:pPr>
            <w:r w:rsidRPr="00132239">
              <w:rPr>
                <w:sz w:val="22"/>
                <w:szCs w:val="22"/>
              </w:rPr>
              <w:t>100</w:t>
            </w:r>
          </w:p>
        </w:tc>
        <w:tc>
          <w:tcPr>
            <w:tcW w:w="1740" w:type="dxa"/>
            <w:tcBorders>
              <w:top w:val="nil"/>
              <w:left w:val="nil"/>
              <w:bottom w:val="single" w:sz="4" w:space="0" w:color="auto"/>
              <w:right w:val="single" w:sz="4" w:space="0" w:color="auto"/>
            </w:tcBorders>
            <w:shd w:val="clear" w:color="auto" w:fill="auto"/>
            <w:noWrap/>
            <w:vAlign w:val="center"/>
            <w:hideMark/>
          </w:tcPr>
          <w:p w:rsidR="00F778E2" w:rsidRPr="00132239" w:rsidRDefault="00F778E2" w:rsidP="00F778E2">
            <w:pPr>
              <w:jc w:val="center"/>
              <w:rPr>
                <w:sz w:val="22"/>
                <w:szCs w:val="22"/>
              </w:rPr>
            </w:pPr>
            <w:r w:rsidRPr="00132239">
              <w:rPr>
                <w:sz w:val="22"/>
                <w:szCs w:val="22"/>
              </w:rPr>
              <w:t>0.0</w:t>
            </w:r>
          </w:p>
        </w:tc>
        <w:tc>
          <w:tcPr>
            <w:tcW w:w="2045" w:type="dxa"/>
            <w:tcBorders>
              <w:top w:val="nil"/>
              <w:left w:val="nil"/>
              <w:bottom w:val="single" w:sz="4" w:space="0" w:color="auto"/>
              <w:right w:val="single" w:sz="8" w:space="0" w:color="auto"/>
            </w:tcBorders>
            <w:shd w:val="clear" w:color="auto" w:fill="auto"/>
            <w:noWrap/>
            <w:vAlign w:val="center"/>
            <w:hideMark/>
          </w:tcPr>
          <w:p w:rsidR="00F778E2" w:rsidRPr="00132239" w:rsidRDefault="00F778E2" w:rsidP="00F778E2">
            <w:pPr>
              <w:jc w:val="center"/>
              <w:rPr>
                <w:sz w:val="22"/>
                <w:szCs w:val="22"/>
              </w:rPr>
            </w:pPr>
            <w:r w:rsidRPr="00132239">
              <w:rPr>
                <w:sz w:val="22"/>
                <w:szCs w:val="22"/>
              </w:rPr>
              <w:t>100</w:t>
            </w:r>
          </w:p>
        </w:tc>
      </w:tr>
      <w:tr w:rsidR="00F778E2" w:rsidRPr="00132239" w:rsidTr="00F778E2">
        <w:trPr>
          <w:trHeight w:val="390"/>
          <w:jc w:val="center"/>
        </w:trPr>
        <w:tc>
          <w:tcPr>
            <w:tcW w:w="2842" w:type="dxa"/>
            <w:tcBorders>
              <w:top w:val="nil"/>
              <w:left w:val="single" w:sz="8" w:space="0" w:color="auto"/>
              <w:bottom w:val="single" w:sz="4" w:space="0" w:color="auto"/>
              <w:right w:val="single" w:sz="4" w:space="0" w:color="auto"/>
            </w:tcBorders>
            <w:shd w:val="clear" w:color="auto" w:fill="auto"/>
            <w:vAlign w:val="center"/>
            <w:hideMark/>
          </w:tcPr>
          <w:p w:rsidR="00F778E2" w:rsidRPr="00132239" w:rsidRDefault="00F778E2" w:rsidP="00F778E2">
            <w:pPr>
              <w:jc w:val="center"/>
              <w:rPr>
                <w:b/>
                <w:bCs/>
              </w:rPr>
            </w:pPr>
            <w:r w:rsidRPr="00132239">
              <w:rPr>
                <w:b/>
                <w:bCs/>
              </w:rPr>
              <w:t xml:space="preserve">SUB-TOTAL </w:t>
            </w:r>
          </w:p>
        </w:tc>
        <w:tc>
          <w:tcPr>
            <w:tcW w:w="1553" w:type="dxa"/>
            <w:tcBorders>
              <w:top w:val="nil"/>
              <w:left w:val="nil"/>
              <w:bottom w:val="single" w:sz="4" w:space="0" w:color="auto"/>
              <w:right w:val="single" w:sz="4" w:space="0" w:color="auto"/>
            </w:tcBorders>
            <w:shd w:val="clear" w:color="auto" w:fill="auto"/>
            <w:noWrap/>
            <w:vAlign w:val="center"/>
            <w:hideMark/>
          </w:tcPr>
          <w:p w:rsidR="00F778E2" w:rsidRPr="00132239" w:rsidRDefault="00F778E2" w:rsidP="00F778E2">
            <w:pPr>
              <w:jc w:val="center"/>
              <w:rPr>
                <w:b/>
                <w:bCs/>
              </w:rPr>
            </w:pPr>
            <w:r w:rsidRPr="00132239">
              <w:rPr>
                <w:b/>
                <w:bCs/>
              </w:rPr>
              <w:t>10,295</w:t>
            </w:r>
          </w:p>
        </w:tc>
        <w:tc>
          <w:tcPr>
            <w:tcW w:w="1740" w:type="dxa"/>
            <w:tcBorders>
              <w:top w:val="nil"/>
              <w:left w:val="nil"/>
              <w:bottom w:val="single" w:sz="4" w:space="0" w:color="auto"/>
              <w:right w:val="single" w:sz="4" w:space="0" w:color="auto"/>
            </w:tcBorders>
            <w:shd w:val="clear" w:color="auto" w:fill="auto"/>
            <w:noWrap/>
            <w:vAlign w:val="center"/>
            <w:hideMark/>
          </w:tcPr>
          <w:p w:rsidR="00F778E2" w:rsidRPr="00132239" w:rsidRDefault="00F778E2" w:rsidP="00F778E2">
            <w:pPr>
              <w:jc w:val="center"/>
              <w:rPr>
                <w:b/>
                <w:bCs/>
              </w:rPr>
            </w:pPr>
            <w:r w:rsidRPr="00132239">
              <w:rPr>
                <w:b/>
              </w:rPr>
              <w:t>0.0</w:t>
            </w:r>
          </w:p>
        </w:tc>
        <w:tc>
          <w:tcPr>
            <w:tcW w:w="2045" w:type="dxa"/>
            <w:tcBorders>
              <w:top w:val="nil"/>
              <w:left w:val="nil"/>
              <w:bottom w:val="single" w:sz="4" w:space="0" w:color="auto"/>
              <w:right w:val="single" w:sz="8" w:space="0" w:color="auto"/>
            </w:tcBorders>
            <w:shd w:val="clear" w:color="auto" w:fill="auto"/>
            <w:noWrap/>
            <w:vAlign w:val="center"/>
            <w:hideMark/>
          </w:tcPr>
          <w:p w:rsidR="00F778E2" w:rsidRPr="00132239" w:rsidRDefault="00F778E2" w:rsidP="00F778E2">
            <w:pPr>
              <w:jc w:val="center"/>
              <w:rPr>
                <w:b/>
                <w:bCs/>
              </w:rPr>
            </w:pPr>
            <w:r w:rsidRPr="00132239">
              <w:rPr>
                <w:b/>
                <w:bCs/>
              </w:rPr>
              <w:t>10,295</w:t>
            </w:r>
          </w:p>
        </w:tc>
      </w:tr>
      <w:tr w:rsidR="00F778E2" w:rsidRPr="00132239" w:rsidTr="00F778E2">
        <w:trPr>
          <w:trHeight w:val="435"/>
          <w:jc w:val="center"/>
        </w:trPr>
        <w:tc>
          <w:tcPr>
            <w:tcW w:w="2842" w:type="dxa"/>
            <w:tcBorders>
              <w:top w:val="nil"/>
              <w:left w:val="single" w:sz="8" w:space="0" w:color="auto"/>
              <w:bottom w:val="single" w:sz="8" w:space="0" w:color="auto"/>
              <w:right w:val="single" w:sz="4" w:space="0" w:color="auto"/>
            </w:tcBorders>
            <w:shd w:val="clear" w:color="auto" w:fill="auto"/>
            <w:noWrap/>
            <w:vAlign w:val="center"/>
            <w:hideMark/>
          </w:tcPr>
          <w:p w:rsidR="00F778E2" w:rsidRPr="00132239" w:rsidRDefault="00F778E2" w:rsidP="00F778E2">
            <w:pPr>
              <w:jc w:val="center"/>
              <w:rPr>
                <w:b/>
                <w:bCs/>
                <w:sz w:val="22"/>
                <w:szCs w:val="22"/>
              </w:rPr>
            </w:pPr>
            <w:r w:rsidRPr="00132239">
              <w:rPr>
                <w:b/>
                <w:bCs/>
                <w:sz w:val="22"/>
                <w:szCs w:val="22"/>
              </w:rPr>
              <w:t>TOTAL GENERAL</w:t>
            </w:r>
          </w:p>
        </w:tc>
        <w:tc>
          <w:tcPr>
            <w:tcW w:w="1553" w:type="dxa"/>
            <w:tcBorders>
              <w:top w:val="nil"/>
              <w:left w:val="nil"/>
              <w:bottom w:val="single" w:sz="8" w:space="0" w:color="auto"/>
              <w:right w:val="single" w:sz="4" w:space="0" w:color="auto"/>
            </w:tcBorders>
            <w:shd w:val="clear" w:color="auto" w:fill="auto"/>
            <w:noWrap/>
            <w:vAlign w:val="center"/>
            <w:hideMark/>
          </w:tcPr>
          <w:p w:rsidR="00F778E2" w:rsidRPr="00132239" w:rsidRDefault="00F778E2" w:rsidP="00F778E2">
            <w:pPr>
              <w:jc w:val="center"/>
              <w:rPr>
                <w:b/>
                <w:bCs/>
                <w:sz w:val="22"/>
                <w:szCs w:val="22"/>
              </w:rPr>
            </w:pPr>
            <w:r>
              <w:rPr>
                <w:b/>
                <w:bCs/>
                <w:sz w:val="22"/>
                <w:szCs w:val="22"/>
              </w:rPr>
              <w:t>13,159</w:t>
            </w:r>
          </w:p>
        </w:tc>
        <w:tc>
          <w:tcPr>
            <w:tcW w:w="1740" w:type="dxa"/>
            <w:tcBorders>
              <w:top w:val="nil"/>
              <w:left w:val="nil"/>
              <w:bottom w:val="single" w:sz="8" w:space="0" w:color="auto"/>
              <w:right w:val="single" w:sz="4" w:space="0" w:color="auto"/>
            </w:tcBorders>
            <w:shd w:val="clear" w:color="auto" w:fill="auto"/>
            <w:noWrap/>
            <w:vAlign w:val="center"/>
            <w:hideMark/>
          </w:tcPr>
          <w:p w:rsidR="00F778E2" w:rsidRPr="00132239" w:rsidRDefault="00F778E2" w:rsidP="00F778E2">
            <w:pPr>
              <w:jc w:val="center"/>
              <w:rPr>
                <w:b/>
                <w:bCs/>
                <w:sz w:val="22"/>
                <w:szCs w:val="22"/>
              </w:rPr>
            </w:pPr>
            <w:r w:rsidRPr="00132239">
              <w:rPr>
                <w:b/>
                <w:bCs/>
                <w:sz w:val="22"/>
                <w:szCs w:val="22"/>
              </w:rPr>
              <w:t>1,172</w:t>
            </w:r>
          </w:p>
        </w:tc>
        <w:tc>
          <w:tcPr>
            <w:tcW w:w="2045" w:type="dxa"/>
            <w:tcBorders>
              <w:top w:val="nil"/>
              <w:left w:val="nil"/>
              <w:bottom w:val="single" w:sz="8" w:space="0" w:color="auto"/>
              <w:right w:val="single" w:sz="8" w:space="0" w:color="auto"/>
            </w:tcBorders>
            <w:shd w:val="clear" w:color="auto" w:fill="auto"/>
            <w:noWrap/>
            <w:vAlign w:val="center"/>
            <w:hideMark/>
          </w:tcPr>
          <w:p w:rsidR="00F778E2" w:rsidRPr="00132239" w:rsidRDefault="00F778E2" w:rsidP="00F778E2">
            <w:pPr>
              <w:jc w:val="center"/>
              <w:rPr>
                <w:b/>
                <w:bCs/>
                <w:sz w:val="22"/>
                <w:szCs w:val="22"/>
              </w:rPr>
            </w:pPr>
            <w:r>
              <w:rPr>
                <w:b/>
                <w:bCs/>
                <w:sz w:val="22"/>
                <w:szCs w:val="22"/>
              </w:rPr>
              <w:t>14,331</w:t>
            </w:r>
          </w:p>
        </w:tc>
      </w:tr>
      <w:tr w:rsidR="00F778E2" w:rsidRPr="00132239" w:rsidTr="00F778E2">
        <w:trPr>
          <w:trHeight w:val="150"/>
          <w:jc w:val="center"/>
        </w:trPr>
        <w:tc>
          <w:tcPr>
            <w:tcW w:w="2842" w:type="dxa"/>
            <w:tcBorders>
              <w:top w:val="nil"/>
              <w:left w:val="nil"/>
              <w:bottom w:val="nil"/>
              <w:right w:val="nil"/>
            </w:tcBorders>
            <w:shd w:val="clear" w:color="auto" w:fill="auto"/>
            <w:noWrap/>
            <w:vAlign w:val="bottom"/>
            <w:hideMark/>
          </w:tcPr>
          <w:p w:rsidR="00F778E2" w:rsidRPr="00132239" w:rsidRDefault="00F778E2" w:rsidP="00F778E2">
            <w:pPr>
              <w:jc w:val="center"/>
              <w:rPr>
                <w:b/>
                <w:bCs/>
                <w:sz w:val="22"/>
                <w:szCs w:val="22"/>
              </w:rPr>
            </w:pPr>
          </w:p>
        </w:tc>
        <w:tc>
          <w:tcPr>
            <w:tcW w:w="1553" w:type="dxa"/>
            <w:tcBorders>
              <w:top w:val="nil"/>
              <w:left w:val="nil"/>
              <w:bottom w:val="nil"/>
              <w:right w:val="nil"/>
            </w:tcBorders>
            <w:shd w:val="clear" w:color="auto" w:fill="auto"/>
            <w:noWrap/>
            <w:vAlign w:val="bottom"/>
            <w:hideMark/>
          </w:tcPr>
          <w:p w:rsidR="00F778E2" w:rsidRPr="00132239" w:rsidRDefault="00F778E2" w:rsidP="00F778E2">
            <w:pPr>
              <w:jc w:val="both"/>
            </w:pPr>
          </w:p>
        </w:tc>
        <w:tc>
          <w:tcPr>
            <w:tcW w:w="1740" w:type="dxa"/>
            <w:tcBorders>
              <w:top w:val="nil"/>
              <w:left w:val="nil"/>
              <w:bottom w:val="nil"/>
              <w:right w:val="nil"/>
            </w:tcBorders>
            <w:shd w:val="clear" w:color="auto" w:fill="auto"/>
            <w:noWrap/>
            <w:vAlign w:val="bottom"/>
            <w:hideMark/>
          </w:tcPr>
          <w:p w:rsidR="00F778E2" w:rsidRPr="00132239" w:rsidRDefault="00F778E2" w:rsidP="00F778E2"/>
        </w:tc>
        <w:tc>
          <w:tcPr>
            <w:tcW w:w="2045" w:type="dxa"/>
            <w:tcBorders>
              <w:top w:val="nil"/>
              <w:left w:val="nil"/>
              <w:bottom w:val="nil"/>
              <w:right w:val="nil"/>
            </w:tcBorders>
            <w:shd w:val="clear" w:color="auto" w:fill="auto"/>
            <w:noWrap/>
            <w:vAlign w:val="bottom"/>
            <w:hideMark/>
          </w:tcPr>
          <w:p w:rsidR="00F778E2" w:rsidRPr="00132239" w:rsidRDefault="00F778E2" w:rsidP="00F778E2"/>
        </w:tc>
      </w:tr>
      <w:tr w:rsidR="00F778E2" w:rsidRPr="00B54C15" w:rsidTr="00F778E2">
        <w:trPr>
          <w:trHeight w:val="585"/>
          <w:jc w:val="center"/>
        </w:trPr>
        <w:tc>
          <w:tcPr>
            <w:tcW w:w="8180" w:type="dxa"/>
            <w:gridSpan w:val="4"/>
            <w:tcBorders>
              <w:top w:val="single" w:sz="8" w:space="0" w:color="auto"/>
              <w:left w:val="single" w:sz="8" w:space="0" w:color="auto"/>
              <w:bottom w:val="single" w:sz="8" w:space="0" w:color="auto"/>
              <w:right w:val="single" w:sz="8" w:space="0" w:color="000000"/>
            </w:tcBorders>
            <w:shd w:val="clear" w:color="000000" w:fill="F2F2F2"/>
            <w:vAlign w:val="center"/>
            <w:hideMark/>
          </w:tcPr>
          <w:p w:rsidR="00F778E2" w:rsidRPr="00F778E2" w:rsidRDefault="00F778E2" w:rsidP="00F778E2">
            <w:pPr>
              <w:jc w:val="center"/>
              <w:rPr>
                <w:b/>
                <w:bCs/>
                <w:lang w:val="es-DO"/>
              </w:rPr>
            </w:pPr>
            <w:r w:rsidRPr="00F778E2">
              <w:rPr>
                <w:b/>
                <w:bCs/>
                <w:lang w:val="es-DO"/>
              </w:rPr>
              <w:t xml:space="preserve">TOTAL GENERAL DE VIVIENDAS INTERVENIDAS </w:t>
            </w:r>
            <w:r w:rsidRPr="00F778E2">
              <w:rPr>
                <w:b/>
                <w:bCs/>
                <w:sz w:val="26"/>
                <w:szCs w:val="26"/>
                <w:lang w:val="es-DO"/>
              </w:rPr>
              <w:t>: 14,331</w:t>
            </w:r>
          </w:p>
        </w:tc>
      </w:tr>
    </w:tbl>
    <w:p w:rsidR="00F778E2" w:rsidRPr="00F778E2" w:rsidRDefault="00F778E2" w:rsidP="00F778E2">
      <w:pPr>
        <w:jc w:val="center"/>
        <w:rPr>
          <w:b/>
          <w:lang w:val="es-DO"/>
        </w:rPr>
      </w:pPr>
    </w:p>
    <w:tbl>
      <w:tblPr>
        <w:tblW w:w="8464" w:type="dxa"/>
        <w:tblInd w:w="-214" w:type="dxa"/>
        <w:tblCellMar>
          <w:left w:w="70" w:type="dxa"/>
          <w:right w:w="70" w:type="dxa"/>
        </w:tblCellMar>
        <w:tblLook w:val="04A0" w:firstRow="1" w:lastRow="0" w:firstColumn="1" w:lastColumn="0" w:noHBand="0" w:noVBand="1"/>
      </w:tblPr>
      <w:tblGrid>
        <w:gridCol w:w="8464"/>
      </w:tblGrid>
      <w:tr w:rsidR="00F778E2" w:rsidRPr="00B54C15" w:rsidTr="00F778E2">
        <w:trPr>
          <w:trHeight w:val="585"/>
        </w:trPr>
        <w:tc>
          <w:tcPr>
            <w:tcW w:w="8464" w:type="dxa"/>
            <w:tcBorders>
              <w:top w:val="single" w:sz="8" w:space="0" w:color="auto"/>
              <w:left w:val="single" w:sz="8" w:space="0" w:color="auto"/>
              <w:bottom w:val="single" w:sz="8" w:space="0" w:color="auto"/>
              <w:right w:val="single" w:sz="8" w:space="0" w:color="000000"/>
            </w:tcBorders>
            <w:shd w:val="clear" w:color="000000" w:fill="F2F2F2"/>
            <w:vAlign w:val="center"/>
            <w:hideMark/>
          </w:tcPr>
          <w:p w:rsidR="00F778E2" w:rsidRPr="00F778E2" w:rsidRDefault="00F778E2" w:rsidP="00F778E2">
            <w:pPr>
              <w:jc w:val="center"/>
              <w:rPr>
                <w:b/>
                <w:bCs/>
                <w:color w:val="000000"/>
                <w:lang w:val="es-DO"/>
              </w:rPr>
            </w:pPr>
            <w:r w:rsidRPr="00F778E2">
              <w:rPr>
                <w:b/>
                <w:bCs/>
                <w:color w:val="000000"/>
                <w:lang w:val="es-DO"/>
              </w:rPr>
              <w:t>TOTAL INVERSION EJECUTADA  EN RD$ 665,745,370.00</w:t>
            </w:r>
          </w:p>
        </w:tc>
      </w:tr>
    </w:tbl>
    <w:p w:rsidR="00D3380C" w:rsidRDefault="00D3380C" w:rsidP="00735D2C">
      <w:pPr>
        <w:pStyle w:val="Textoindependiente"/>
        <w:spacing w:line="480" w:lineRule="auto"/>
        <w:contextualSpacing/>
        <w:rPr>
          <w:rFonts w:ascii="Times New Roman" w:hAnsi="Times New Roman"/>
        </w:rPr>
      </w:pPr>
    </w:p>
    <w:p w:rsidR="00D3380C" w:rsidRDefault="00D3380C" w:rsidP="00735D2C">
      <w:pPr>
        <w:pStyle w:val="Textoindependiente"/>
        <w:spacing w:line="480" w:lineRule="auto"/>
        <w:contextualSpacing/>
        <w:rPr>
          <w:rFonts w:ascii="Times New Roman" w:hAnsi="Times New Roman"/>
        </w:rPr>
      </w:pPr>
      <w:r>
        <w:rPr>
          <w:rFonts w:ascii="Times New Roman" w:hAnsi="Times New Roman"/>
        </w:rPr>
        <w:t>PREPARADO POR:</w:t>
      </w:r>
    </w:p>
    <w:p w:rsidR="00D3380C" w:rsidRPr="00D3380C" w:rsidRDefault="00D3380C" w:rsidP="00D3380C">
      <w:pPr>
        <w:pStyle w:val="Textoindependiente"/>
        <w:spacing w:line="240" w:lineRule="auto"/>
        <w:contextualSpacing/>
        <w:rPr>
          <w:rFonts w:ascii="Times New Roman" w:hAnsi="Times New Roman"/>
          <w:b/>
        </w:rPr>
      </w:pPr>
      <w:r w:rsidRPr="00D3380C">
        <w:rPr>
          <w:rFonts w:ascii="Times New Roman" w:hAnsi="Times New Roman"/>
          <w:b/>
        </w:rPr>
        <w:t>Licda. María C. Berroa</w:t>
      </w:r>
    </w:p>
    <w:p w:rsidR="00D3380C" w:rsidRDefault="008463CD" w:rsidP="00D3380C">
      <w:pPr>
        <w:pStyle w:val="Textoindependiente"/>
        <w:spacing w:line="240" w:lineRule="auto"/>
        <w:contextualSpacing/>
        <w:rPr>
          <w:rFonts w:ascii="Times New Roman" w:hAnsi="Times New Roman"/>
        </w:rPr>
      </w:pPr>
      <w:r>
        <w:rPr>
          <w:rFonts w:ascii="Times New Roman" w:hAnsi="Times New Roman"/>
        </w:rPr>
        <w:t>Dirección</w:t>
      </w:r>
      <w:r w:rsidR="00D3380C">
        <w:rPr>
          <w:rFonts w:ascii="Times New Roman" w:hAnsi="Times New Roman"/>
        </w:rPr>
        <w:t xml:space="preserve"> de Planificación y Desarrollo</w:t>
      </w:r>
    </w:p>
    <w:p w:rsidR="005A7BA1" w:rsidRDefault="005A7BA1" w:rsidP="00735D2C">
      <w:pPr>
        <w:pStyle w:val="Textoindependiente"/>
        <w:spacing w:line="480" w:lineRule="auto"/>
        <w:contextualSpacing/>
        <w:rPr>
          <w:rFonts w:ascii="Times New Roman" w:hAnsi="Times New Roman"/>
        </w:rPr>
      </w:pPr>
    </w:p>
    <w:p w:rsidR="005A7BA1" w:rsidRDefault="005A7BA1" w:rsidP="00735D2C">
      <w:pPr>
        <w:pStyle w:val="Textoindependiente"/>
        <w:spacing w:line="480" w:lineRule="auto"/>
        <w:contextualSpacing/>
        <w:rPr>
          <w:rFonts w:ascii="Times New Roman" w:hAnsi="Times New Roman"/>
        </w:rPr>
      </w:pPr>
    </w:p>
    <w:p w:rsidR="00FA4871" w:rsidRDefault="00FA4871" w:rsidP="00FA4871">
      <w:pPr>
        <w:pStyle w:val="Textoindependiente"/>
        <w:spacing w:line="480" w:lineRule="auto"/>
        <w:contextualSpacing/>
        <w:rPr>
          <w:rFonts w:ascii="Times New Roman" w:hAnsi="Times New Roman"/>
        </w:rPr>
      </w:pPr>
    </w:p>
    <w:p w:rsidR="00FA4871" w:rsidRDefault="00FA4871" w:rsidP="00FA4871">
      <w:pPr>
        <w:pStyle w:val="Textoindependiente"/>
        <w:spacing w:line="480" w:lineRule="auto"/>
        <w:contextualSpacing/>
        <w:rPr>
          <w:rFonts w:ascii="Times New Roman" w:hAnsi="Times New Roman"/>
        </w:rPr>
      </w:pPr>
    </w:p>
    <w:sectPr w:rsidR="00FA4871" w:rsidSect="00627C1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C00FA"/>
    <w:multiLevelType w:val="hybridMultilevel"/>
    <w:tmpl w:val="CE5E6C78"/>
    <w:lvl w:ilvl="0" w:tplc="8870B352">
      <w:start w:val="1"/>
      <w:numFmt w:val="decimal"/>
      <w:lvlText w:val="%1-"/>
      <w:lvlJc w:val="left"/>
      <w:pPr>
        <w:ind w:left="720" w:hanging="360"/>
      </w:pPr>
      <w:rPr>
        <w:rFonts w:hint="default"/>
        <w:i w:val="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 w15:restartNumberingAfterBreak="0">
    <w:nsid w:val="19EE7974"/>
    <w:multiLevelType w:val="hybridMultilevel"/>
    <w:tmpl w:val="18D87C26"/>
    <w:lvl w:ilvl="0" w:tplc="5B9625CA">
      <w:start w:val="1"/>
      <w:numFmt w:val="decimal"/>
      <w:lvlText w:val="%1"/>
      <w:lvlJc w:val="left"/>
      <w:pPr>
        <w:ind w:left="720" w:hanging="360"/>
      </w:pPr>
      <w:rPr>
        <w:rFonts w:hint="default"/>
        <w:i w:val="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 w15:restartNumberingAfterBreak="0">
    <w:nsid w:val="55393016"/>
    <w:multiLevelType w:val="hybridMultilevel"/>
    <w:tmpl w:val="FCBAEDB8"/>
    <w:lvl w:ilvl="0" w:tplc="2B7CB492">
      <w:start w:val="1"/>
      <w:numFmt w:val="decimal"/>
      <w:lvlText w:val="%1-"/>
      <w:lvlJc w:val="left"/>
      <w:pPr>
        <w:ind w:left="720" w:hanging="360"/>
      </w:pPr>
      <w:rPr>
        <w:rFonts w:hint="default"/>
        <w:i w:val="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42D"/>
    <w:rsid w:val="000046E0"/>
    <w:rsid w:val="000701BA"/>
    <w:rsid w:val="00085065"/>
    <w:rsid w:val="000F70BB"/>
    <w:rsid w:val="000F7A31"/>
    <w:rsid w:val="0011297E"/>
    <w:rsid w:val="00136E47"/>
    <w:rsid w:val="001402F9"/>
    <w:rsid w:val="00155307"/>
    <w:rsid w:val="001B558E"/>
    <w:rsid w:val="001B56CD"/>
    <w:rsid w:val="001D1D78"/>
    <w:rsid w:val="002013B7"/>
    <w:rsid w:val="00214A0B"/>
    <w:rsid w:val="00221E7B"/>
    <w:rsid w:val="00223C4D"/>
    <w:rsid w:val="002323F1"/>
    <w:rsid w:val="00232968"/>
    <w:rsid w:val="00234133"/>
    <w:rsid w:val="00251B61"/>
    <w:rsid w:val="00260488"/>
    <w:rsid w:val="00294A19"/>
    <w:rsid w:val="002C636C"/>
    <w:rsid w:val="002D3569"/>
    <w:rsid w:val="002D5D78"/>
    <w:rsid w:val="002D7972"/>
    <w:rsid w:val="002E4690"/>
    <w:rsid w:val="00321B3F"/>
    <w:rsid w:val="0036521B"/>
    <w:rsid w:val="003765A9"/>
    <w:rsid w:val="00383588"/>
    <w:rsid w:val="003B09C3"/>
    <w:rsid w:val="003B2E24"/>
    <w:rsid w:val="003D562B"/>
    <w:rsid w:val="003F099D"/>
    <w:rsid w:val="00402A72"/>
    <w:rsid w:val="00403D10"/>
    <w:rsid w:val="0048060F"/>
    <w:rsid w:val="0048508E"/>
    <w:rsid w:val="00486595"/>
    <w:rsid w:val="004C6731"/>
    <w:rsid w:val="004D412F"/>
    <w:rsid w:val="00515133"/>
    <w:rsid w:val="00526A2C"/>
    <w:rsid w:val="00542ED4"/>
    <w:rsid w:val="00544420"/>
    <w:rsid w:val="00552A2A"/>
    <w:rsid w:val="005650FD"/>
    <w:rsid w:val="00575773"/>
    <w:rsid w:val="00593B91"/>
    <w:rsid w:val="0059748C"/>
    <w:rsid w:val="005A7BA1"/>
    <w:rsid w:val="005E5D26"/>
    <w:rsid w:val="005E6DF9"/>
    <w:rsid w:val="005F4217"/>
    <w:rsid w:val="00614A02"/>
    <w:rsid w:val="006156F5"/>
    <w:rsid w:val="00627C18"/>
    <w:rsid w:val="00630435"/>
    <w:rsid w:val="006311BB"/>
    <w:rsid w:val="006361B7"/>
    <w:rsid w:val="006511B6"/>
    <w:rsid w:val="0066055B"/>
    <w:rsid w:val="0066435B"/>
    <w:rsid w:val="00664FC0"/>
    <w:rsid w:val="00667058"/>
    <w:rsid w:val="00675224"/>
    <w:rsid w:val="00675A2D"/>
    <w:rsid w:val="00683ACE"/>
    <w:rsid w:val="006D571D"/>
    <w:rsid w:val="006E3A9D"/>
    <w:rsid w:val="00706B97"/>
    <w:rsid w:val="00713C2D"/>
    <w:rsid w:val="00720660"/>
    <w:rsid w:val="0073049F"/>
    <w:rsid w:val="00734145"/>
    <w:rsid w:val="00734422"/>
    <w:rsid w:val="00735D2C"/>
    <w:rsid w:val="00757D8D"/>
    <w:rsid w:val="00763B4A"/>
    <w:rsid w:val="007813A0"/>
    <w:rsid w:val="00782D23"/>
    <w:rsid w:val="007A42E1"/>
    <w:rsid w:val="007B19E7"/>
    <w:rsid w:val="007C3F49"/>
    <w:rsid w:val="007D0DEC"/>
    <w:rsid w:val="00814B93"/>
    <w:rsid w:val="00831C52"/>
    <w:rsid w:val="008463CD"/>
    <w:rsid w:val="00852892"/>
    <w:rsid w:val="00853295"/>
    <w:rsid w:val="0086117D"/>
    <w:rsid w:val="008632A3"/>
    <w:rsid w:val="008700C8"/>
    <w:rsid w:val="008737CD"/>
    <w:rsid w:val="00874ABF"/>
    <w:rsid w:val="0088442D"/>
    <w:rsid w:val="008F1AB5"/>
    <w:rsid w:val="008F7A5B"/>
    <w:rsid w:val="0092152E"/>
    <w:rsid w:val="00933C6E"/>
    <w:rsid w:val="00937933"/>
    <w:rsid w:val="009610AC"/>
    <w:rsid w:val="009647B5"/>
    <w:rsid w:val="00971098"/>
    <w:rsid w:val="009742B3"/>
    <w:rsid w:val="00980B66"/>
    <w:rsid w:val="00980CA5"/>
    <w:rsid w:val="009C0250"/>
    <w:rsid w:val="009C55F0"/>
    <w:rsid w:val="009D26F1"/>
    <w:rsid w:val="009F72E5"/>
    <w:rsid w:val="00A2609B"/>
    <w:rsid w:val="00A35E62"/>
    <w:rsid w:val="00A406D5"/>
    <w:rsid w:val="00A44951"/>
    <w:rsid w:val="00A571B8"/>
    <w:rsid w:val="00A600FA"/>
    <w:rsid w:val="00A849F4"/>
    <w:rsid w:val="00AA1963"/>
    <w:rsid w:val="00AA21B6"/>
    <w:rsid w:val="00AA3256"/>
    <w:rsid w:val="00AC6BF9"/>
    <w:rsid w:val="00AC786D"/>
    <w:rsid w:val="00AC79BC"/>
    <w:rsid w:val="00AC7CC8"/>
    <w:rsid w:val="00B47492"/>
    <w:rsid w:val="00B54C15"/>
    <w:rsid w:val="00B55FE8"/>
    <w:rsid w:val="00B64933"/>
    <w:rsid w:val="00B84BB8"/>
    <w:rsid w:val="00B868E3"/>
    <w:rsid w:val="00BA3DFD"/>
    <w:rsid w:val="00BA3EC3"/>
    <w:rsid w:val="00BB3EC6"/>
    <w:rsid w:val="00BD01AA"/>
    <w:rsid w:val="00BD07CB"/>
    <w:rsid w:val="00BE3B36"/>
    <w:rsid w:val="00BF76D5"/>
    <w:rsid w:val="00C0169B"/>
    <w:rsid w:val="00C05126"/>
    <w:rsid w:val="00C062A0"/>
    <w:rsid w:val="00C12C2C"/>
    <w:rsid w:val="00C1794D"/>
    <w:rsid w:val="00C626DB"/>
    <w:rsid w:val="00C70BFD"/>
    <w:rsid w:val="00C933AE"/>
    <w:rsid w:val="00CA6902"/>
    <w:rsid w:val="00CC09D9"/>
    <w:rsid w:val="00CC37D2"/>
    <w:rsid w:val="00D22B9F"/>
    <w:rsid w:val="00D3380C"/>
    <w:rsid w:val="00D51FCA"/>
    <w:rsid w:val="00D57854"/>
    <w:rsid w:val="00D63128"/>
    <w:rsid w:val="00D83D43"/>
    <w:rsid w:val="00DB1FC0"/>
    <w:rsid w:val="00DC005B"/>
    <w:rsid w:val="00DC5DFC"/>
    <w:rsid w:val="00DE4901"/>
    <w:rsid w:val="00E100EC"/>
    <w:rsid w:val="00E1235D"/>
    <w:rsid w:val="00E152D9"/>
    <w:rsid w:val="00E31155"/>
    <w:rsid w:val="00E46232"/>
    <w:rsid w:val="00E70C05"/>
    <w:rsid w:val="00E72295"/>
    <w:rsid w:val="00E7360C"/>
    <w:rsid w:val="00E77706"/>
    <w:rsid w:val="00E90A29"/>
    <w:rsid w:val="00EA4D46"/>
    <w:rsid w:val="00EC1BD8"/>
    <w:rsid w:val="00EC637C"/>
    <w:rsid w:val="00ED1E67"/>
    <w:rsid w:val="00ED3AA0"/>
    <w:rsid w:val="00EE5B7D"/>
    <w:rsid w:val="00EF71C1"/>
    <w:rsid w:val="00F05BE4"/>
    <w:rsid w:val="00F23597"/>
    <w:rsid w:val="00F41FEC"/>
    <w:rsid w:val="00F42089"/>
    <w:rsid w:val="00F522F7"/>
    <w:rsid w:val="00F672D3"/>
    <w:rsid w:val="00F778E2"/>
    <w:rsid w:val="00F86635"/>
    <w:rsid w:val="00F91DA8"/>
    <w:rsid w:val="00FA1958"/>
    <w:rsid w:val="00FA4871"/>
    <w:rsid w:val="00FB6FAB"/>
    <w:rsid w:val="00FC4A89"/>
    <w:rsid w:val="00FE5028"/>
    <w:rsid w:val="00FF1522"/>
  </w:rsids>
  <m:mathPr>
    <m:mathFont m:val="Cambria Math"/>
    <m:brkBin m:val="before"/>
    <m:brkBinSub m:val="--"/>
    <m:smallFrac/>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0C8FEB-9678-48AE-BD3E-61970A05F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42D"/>
    <w:pPr>
      <w:spacing w:after="0" w:line="240" w:lineRule="auto"/>
    </w:pPr>
    <w:rPr>
      <w:rFonts w:ascii="Times New Roman" w:eastAsia="Times New Roman" w:hAnsi="Times New Roman" w:cs="Times New Roman"/>
      <w:sz w:val="20"/>
      <w:szCs w:val="20"/>
      <w:lang w:val="en-US"/>
    </w:rPr>
  </w:style>
  <w:style w:type="paragraph" w:styleId="Ttulo2">
    <w:name w:val="heading 2"/>
    <w:basedOn w:val="Normal"/>
    <w:next w:val="Normal"/>
    <w:link w:val="Ttulo2Car"/>
    <w:qFormat/>
    <w:rsid w:val="0088442D"/>
    <w:pPr>
      <w:keepNext/>
      <w:spacing w:before="240" w:after="60"/>
      <w:outlineLvl w:val="1"/>
    </w:pPr>
    <w:rPr>
      <w:rFonts w:ascii="Arial" w:hAnsi="Arial"/>
      <w:b/>
      <w:bCs/>
      <w:i/>
      <w:iCs/>
      <w:sz w:val="24"/>
      <w:szCs w:val="24"/>
      <w:lang w:val="es-D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88442D"/>
    <w:rPr>
      <w:rFonts w:ascii="Arial" w:eastAsia="Times New Roman" w:hAnsi="Arial" w:cs="Times New Roman"/>
      <w:b/>
      <w:bCs/>
      <w:i/>
      <w:iCs/>
      <w:sz w:val="24"/>
      <w:szCs w:val="24"/>
    </w:rPr>
  </w:style>
  <w:style w:type="paragraph" w:styleId="Textoindependiente">
    <w:name w:val="Body Text"/>
    <w:basedOn w:val="Normal"/>
    <w:link w:val="TextoindependienteCar"/>
    <w:rsid w:val="0088442D"/>
    <w:pPr>
      <w:spacing w:line="360" w:lineRule="auto"/>
      <w:jc w:val="both"/>
    </w:pPr>
    <w:rPr>
      <w:rFonts w:ascii="Lucida Sans Unicode" w:hAnsi="Lucida Sans Unicode"/>
      <w:sz w:val="24"/>
      <w:szCs w:val="24"/>
      <w:lang w:val="es-DO"/>
    </w:rPr>
  </w:style>
  <w:style w:type="character" w:customStyle="1" w:styleId="TextoindependienteCar">
    <w:name w:val="Texto independiente Car"/>
    <w:basedOn w:val="Fuentedeprrafopredeter"/>
    <w:link w:val="Textoindependiente"/>
    <w:rsid w:val="0088442D"/>
    <w:rPr>
      <w:rFonts w:ascii="Lucida Sans Unicode" w:eastAsia="Times New Roman" w:hAnsi="Lucida Sans Unicode" w:cs="Times New Roman"/>
      <w:sz w:val="24"/>
      <w:szCs w:val="24"/>
    </w:rPr>
  </w:style>
  <w:style w:type="paragraph" w:styleId="Textoindependiente2">
    <w:name w:val="Body Text 2"/>
    <w:basedOn w:val="Normal"/>
    <w:link w:val="Textoindependiente2Car"/>
    <w:rsid w:val="0088442D"/>
    <w:pPr>
      <w:spacing w:line="480" w:lineRule="auto"/>
      <w:jc w:val="both"/>
    </w:pPr>
    <w:rPr>
      <w:rFonts w:ascii="Arial" w:hAnsi="Arial"/>
      <w:sz w:val="24"/>
      <w:szCs w:val="24"/>
      <w:lang w:val="es-MX"/>
    </w:rPr>
  </w:style>
  <w:style w:type="character" w:customStyle="1" w:styleId="Textoindependiente2Car">
    <w:name w:val="Texto independiente 2 Car"/>
    <w:basedOn w:val="Fuentedeprrafopredeter"/>
    <w:link w:val="Textoindependiente2"/>
    <w:rsid w:val="0088442D"/>
    <w:rPr>
      <w:rFonts w:ascii="Arial" w:eastAsia="Times New Roman" w:hAnsi="Arial" w:cs="Times New Roman"/>
      <w:sz w:val="24"/>
      <w:szCs w:val="24"/>
      <w:lang w:val="es-MX"/>
    </w:rPr>
  </w:style>
  <w:style w:type="paragraph" w:styleId="Prrafodelista">
    <w:name w:val="List Paragraph"/>
    <w:basedOn w:val="Normal"/>
    <w:uiPriority w:val="34"/>
    <w:qFormat/>
    <w:rsid w:val="0088442D"/>
    <w:pPr>
      <w:spacing w:after="200" w:line="276" w:lineRule="auto"/>
      <w:ind w:left="720"/>
      <w:contextualSpacing/>
    </w:pPr>
    <w:rPr>
      <w:rFonts w:ascii="Calibri" w:eastAsia="Calibri" w:hAnsi="Calibri"/>
      <w:sz w:val="22"/>
      <w:szCs w:val="22"/>
      <w:lang w:val="es-DO"/>
    </w:rPr>
  </w:style>
  <w:style w:type="paragraph" w:styleId="Textodeglobo">
    <w:name w:val="Balloon Text"/>
    <w:basedOn w:val="Normal"/>
    <w:link w:val="TextodegloboCar"/>
    <w:uiPriority w:val="99"/>
    <w:semiHidden/>
    <w:unhideWhenUsed/>
    <w:rsid w:val="0036521B"/>
    <w:rPr>
      <w:rFonts w:ascii="Tahoma" w:hAnsi="Tahoma" w:cs="Tahoma"/>
      <w:sz w:val="16"/>
      <w:szCs w:val="16"/>
    </w:rPr>
  </w:style>
  <w:style w:type="character" w:customStyle="1" w:styleId="TextodegloboCar">
    <w:name w:val="Texto de globo Car"/>
    <w:basedOn w:val="Fuentedeprrafopredeter"/>
    <w:link w:val="Textodeglobo"/>
    <w:uiPriority w:val="99"/>
    <w:semiHidden/>
    <w:rsid w:val="0036521B"/>
    <w:rPr>
      <w:rFonts w:ascii="Tahoma" w:eastAsia="Times New Roman" w:hAnsi="Tahoma" w:cs="Tahoma"/>
      <w:sz w:val="16"/>
      <w:szCs w:val="16"/>
      <w:lang w:val="en-US"/>
    </w:rPr>
  </w:style>
  <w:style w:type="paragraph" w:customStyle="1" w:styleId="Normal1">
    <w:name w:val="Normal1"/>
    <w:rsid w:val="00E70C05"/>
    <w:pPr>
      <w:widowControl w:val="0"/>
    </w:pPr>
    <w:rPr>
      <w:rFonts w:ascii="Calibri" w:eastAsia="Calibri" w:hAnsi="Calibri" w:cs="Calibri"/>
      <w:color w:val="000000"/>
      <w:lang w:val="es-ES" w:eastAsia="es-ES"/>
    </w:rPr>
  </w:style>
  <w:style w:type="paragraph" w:customStyle="1" w:styleId="Default">
    <w:name w:val="Default"/>
    <w:rsid w:val="000F7A31"/>
    <w:pPr>
      <w:autoSpaceDE w:val="0"/>
      <w:autoSpaceDN w:val="0"/>
      <w:adjustRightInd w:val="0"/>
      <w:spacing w:after="0" w:line="240" w:lineRule="auto"/>
    </w:pPr>
    <w:rPr>
      <w:rFonts w:ascii="Calibri" w:eastAsia="Times New Roman" w:hAnsi="Calibri" w:cs="Calibri"/>
      <w:color w:val="000000"/>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219525">
      <w:bodyDiv w:val="1"/>
      <w:marLeft w:val="0"/>
      <w:marRight w:val="0"/>
      <w:marTop w:val="0"/>
      <w:marBottom w:val="0"/>
      <w:divBdr>
        <w:top w:val="none" w:sz="0" w:space="0" w:color="auto"/>
        <w:left w:val="none" w:sz="0" w:space="0" w:color="auto"/>
        <w:bottom w:val="none" w:sz="0" w:space="0" w:color="auto"/>
        <w:right w:val="none" w:sz="0" w:space="0" w:color="auto"/>
      </w:divBdr>
    </w:div>
    <w:div w:id="1081291552">
      <w:bodyDiv w:val="1"/>
      <w:marLeft w:val="0"/>
      <w:marRight w:val="0"/>
      <w:marTop w:val="0"/>
      <w:marBottom w:val="0"/>
      <w:divBdr>
        <w:top w:val="none" w:sz="0" w:space="0" w:color="auto"/>
        <w:left w:val="none" w:sz="0" w:space="0" w:color="auto"/>
        <w:bottom w:val="none" w:sz="0" w:space="0" w:color="auto"/>
        <w:right w:val="none" w:sz="0" w:space="0" w:color="auto"/>
      </w:divBdr>
    </w:div>
    <w:div w:id="141204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1436</Words>
  <Characters>7901</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Mberroa</dc:creator>
  <cp:lastModifiedBy>Nidia Lorenzo</cp:lastModifiedBy>
  <cp:revision>2</cp:revision>
  <cp:lastPrinted>2018-03-22T13:59:00Z</cp:lastPrinted>
  <dcterms:created xsi:type="dcterms:W3CDTF">2018-04-10T14:10:00Z</dcterms:created>
  <dcterms:modified xsi:type="dcterms:W3CDTF">2018-04-10T14:10:00Z</dcterms:modified>
</cp:coreProperties>
</file>