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21B" w:rsidRPr="00BD01AA" w:rsidRDefault="00E70C05" w:rsidP="00BD01AA">
      <w:pPr>
        <w:rPr>
          <w:b/>
          <w:sz w:val="28"/>
          <w:szCs w:val="28"/>
          <w:lang w:val="es-ES"/>
        </w:rPr>
      </w:pPr>
      <w:bookmarkStart w:id="0" w:name="_GoBack"/>
      <w:bookmarkEnd w:id="0"/>
      <w:r>
        <w:rPr>
          <w:b/>
          <w:noProof/>
          <w:sz w:val="28"/>
          <w:szCs w:val="28"/>
          <w:lang w:val="es-DO" w:eastAsia="es-DO"/>
        </w:rPr>
        <w:drawing>
          <wp:anchor distT="0" distB="0" distL="114300" distR="114300" simplePos="0" relativeHeight="251659264" behindDoc="0" locked="0" layoutInCell="1" allowOverlap="1">
            <wp:simplePos x="0" y="0"/>
            <wp:positionH relativeFrom="margin">
              <wp:posOffset>-520700</wp:posOffset>
            </wp:positionH>
            <wp:positionV relativeFrom="paragraph">
              <wp:posOffset>-391160</wp:posOffset>
            </wp:positionV>
            <wp:extent cx="1284605" cy="842645"/>
            <wp:effectExtent l="19050" t="0" r="0" b="0"/>
            <wp:wrapSquare wrapText="bothSides"/>
            <wp:docPr id="2" name="Imagen 1" descr="C:\Users\Ogarcia\Desktop\INVI 2017\General\logo-inv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Ogarcia\Desktop\INVI 2017\General\logo-invi-f.png"/>
                    <pic:cNvPicPr>
                      <a:picLocks noChangeAspect="1" noChangeArrowheads="1"/>
                    </pic:cNvPicPr>
                  </pic:nvPicPr>
                  <pic:blipFill>
                    <a:blip r:embed="rId4"/>
                    <a:srcRect/>
                    <a:stretch>
                      <a:fillRect/>
                    </a:stretch>
                  </pic:blipFill>
                  <pic:spPr bwMode="auto">
                    <a:xfrm>
                      <a:off x="0" y="0"/>
                      <a:ext cx="1284605" cy="842645"/>
                    </a:xfrm>
                    <a:prstGeom prst="rect">
                      <a:avLst/>
                    </a:prstGeom>
                    <a:noFill/>
                    <a:ln w="9525">
                      <a:noFill/>
                      <a:miter lim="800000"/>
                      <a:headEnd/>
                      <a:tailEnd/>
                    </a:ln>
                  </pic:spPr>
                </pic:pic>
              </a:graphicData>
            </a:graphic>
          </wp:anchor>
        </w:drawing>
      </w:r>
    </w:p>
    <w:p w:rsidR="00E70C05" w:rsidRPr="00E70C05" w:rsidRDefault="00E70C05" w:rsidP="00E70C05">
      <w:pPr>
        <w:pStyle w:val="Ttulo2"/>
        <w:spacing w:before="0" w:after="0"/>
        <w:jc w:val="center"/>
        <w:rPr>
          <w:rFonts w:ascii="Times New Roman" w:hAnsi="Times New Roman"/>
          <w:i w:val="0"/>
          <w:sz w:val="32"/>
          <w:szCs w:val="32"/>
        </w:rPr>
      </w:pPr>
      <w:r w:rsidRPr="00E70C05">
        <w:rPr>
          <w:rFonts w:ascii="Times New Roman" w:hAnsi="Times New Roman"/>
          <w:i w:val="0"/>
          <w:sz w:val="32"/>
          <w:szCs w:val="32"/>
        </w:rPr>
        <w:t xml:space="preserve">        INSTITUTO NACIONAL DE LA VIVIENDA</w:t>
      </w:r>
    </w:p>
    <w:p w:rsidR="00E70C05" w:rsidRPr="00E70C05" w:rsidRDefault="00E70C05" w:rsidP="00E70C05">
      <w:pPr>
        <w:pStyle w:val="Ttulo2"/>
        <w:spacing w:before="0" w:after="0"/>
        <w:jc w:val="center"/>
        <w:rPr>
          <w:rFonts w:ascii="Times New Roman" w:hAnsi="Times New Roman"/>
          <w:i w:val="0"/>
          <w:sz w:val="32"/>
          <w:szCs w:val="32"/>
        </w:rPr>
      </w:pPr>
      <w:r w:rsidRPr="00E70C05">
        <w:rPr>
          <w:rFonts w:ascii="Times New Roman" w:hAnsi="Times New Roman"/>
          <w:i w:val="0"/>
          <w:sz w:val="32"/>
          <w:szCs w:val="32"/>
        </w:rPr>
        <w:t>¨Año del Desarrollo Agroforestal¨</w:t>
      </w:r>
    </w:p>
    <w:p w:rsidR="0036521B" w:rsidRPr="00E70C05" w:rsidRDefault="0036521B" w:rsidP="00E70C05">
      <w:pPr>
        <w:pStyle w:val="Ttulo2"/>
        <w:spacing w:before="0" w:after="0"/>
        <w:jc w:val="center"/>
        <w:rPr>
          <w:rFonts w:ascii="Times New Roman" w:hAnsi="Times New Roman"/>
          <w:i w:val="0"/>
          <w:sz w:val="32"/>
          <w:szCs w:val="32"/>
        </w:rPr>
      </w:pPr>
    </w:p>
    <w:p w:rsidR="0036521B" w:rsidRPr="00A201D4" w:rsidRDefault="0036521B" w:rsidP="0036521B">
      <w:pPr>
        <w:jc w:val="center"/>
        <w:rPr>
          <w:b/>
          <w:sz w:val="28"/>
          <w:szCs w:val="28"/>
          <w:lang w:val="es-ES"/>
        </w:rPr>
      </w:pPr>
    </w:p>
    <w:p w:rsidR="0036521B" w:rsidRPr="00A201D4" w:rsidRDefault="0036521B" w:rsidP="0036521B">
      <w:pPr>
        <w:jc w:val="center"/>
        <w:rPr>
          <w:b/>
          <w:sz w:val="28"/>
          <w:szCs w:val="28"/>
          <w:lang w:val="es-ES"/>
        </w:rPr>
      </w:pPr>
    </w:p>
    <w:p w:rsidR="0036521B" w:rsidRDefault="0036521B" w:rsidP="0036521B">
      <w:pPr>
        <w:jc w:val="center"/>
        <w:rPr>
          <w:b/>
          <w:sz w:val="28"/>
          <w:szCs w:val="28"/>
          <w:lang w:val="es-ES"/>
        </w:rPr>
      </w:pPr>
    </w:p>
    <w:p w:rsidR="0036521B" w:rsidRDefault="0036521B" w:rsidP="0036521B">
      <w:pPr>
        <w:jc w:val="center"/>
        <w:rPr>
          <w:b/>
          <w:sz w:val="28"/>
          <w:szCs w:val="28"/>
          <w:lang w:val="es-ES"/>
        </w:rPr>
      </w:pPr>
    </w:p>
    <w:p w:rsidR="0036521B" w:rsidRDefault="0036521B" w:rsidP="0036521B">
      <w:pPr>
        <w:jc w:val="center"/>
        <w:rPr>
          <w:b/>
          <w:sz w:val="28"/>
          <w:szCs w:val="28"/>
          <w:lang w:val="es-ES"/>
        </w:rPr>
      </w:pPr>
    </w:p>
    <w:p w:rsidR="0036521B" w:rsidRDefault="0036521B" w:rsidP="0036521B">
      <w:pPr>
        <w:jc w:val="center"/>
        <w:rPr>
          <w:b/>
          <w:sz w:val="28"/>
          <w:szCs w:val="28"/>
          <w:lang w:val="es-ES"/>
        </w:rPr>
      </w:pPr>
    </w:p>
    <w:p w:rsidR="0036521B" w:rsidRPr="00A201D4" w:rsidRDefault="0036521B" w:rsidP="0036521B">
      <w:pPr>
        <w:jc w:val="center"/>
        <w:rPr>
          <w:b/>
          <w:sz w:val="28"/>
          <w:szCs w:val="28"/>
          <w:lang w:val="es-ES"/>
        </w:rPr>
      </w:pPr>
    </w:p>
    <w:p w:rsidR="0036521B" w:rsidRDefault="0036521B" w:rsidP="0036521B">
      <w:pPr>
        <w:jc w:val="center"/>
        <w:rPr>
          <w:b/>
          <w:sz w:val="32"/>
          <w:szCs w:val="32"/>
          <w:lang w:val="es-ES"/>
        </w:rPr>
      </w:pPr>
    </w:p>
    <w:p w:rsidR="0036521B" w:rsidRDefault="0036521B" w:rsidP="0036521B">
      <w:pPr>
        <w:jc w:val="center"/>
        <w:rPr>
          <w:b/>
          <w:sz w:val="32"/>
          <w:szCs w:val="32"/>
          <w:lang w:val="es-ES"/>
        </w:rPr>
      </w:pPr>
    </w:p>
    <w:p w:rsidR="0036521B" w:rsidRDefault="0036521B" w:rsidP="0036521B">
      <w:pPr>
        <w:rPr>
          <w:b/>
          <w:sz w:val="32"/>
          <w:szCs w:val="32"/>
          <w:lang w:val="es-ES"/>
        </w:rPr>
      </w:pPr>
    </w:p>
    <w:p w:rsidR="0036521B" w:rsidRDefault="0036521B" w:rsidP="0036521B">
      <w:pPr>
        <w:jc w:val="center"/>
        <w:rPr>
          <w:b/>
          <w:sz w:val="32"/>
          <w:szCs w:val="32"/>
          <w:lang w:val="es-ES"/>
        </w:rPr>
      </w:pPr>
    </w:p>
    <w:p w:rsidR="0036521B" w:rsidRPr="005650FD" w:rsidRDefault="00E70C05" w:rsidP="0036521B">
      <w:pPr>
        <w:pStyle w:val="Ttulo2"/>
        <w:spacing w:before="0" w:after="0"/>
        <w:jc w:val="center"/>
        <w:rPr>
          <w:rFonts w:ascii="Times New Roman" w:hAnsi="Times New Roman"/>
          <w:i w:val="0"/>
          <w:sz w:val="32"/>
          <w:szCs w:val="32"/>
        </w:rPr>
      </w:pPr>
      <w:r w:rsidRPr="005650FD">
        <w:rPr>
          <w:rFonts w:ascii="Times New Roman" w:hAnsi="Times New Roman"/>
          <w:i w:val="0"/>
          <w:sz w:val="32"/>
          <w:szCs w:val="32"/>
        </w:rPr>
        <w:t>INFORME DE LOGROS Y SEGUIMIENTO DE LA PLANIFICACION ESTRATEGICA ENERO - JUN</w:t>
      </w:r>
      <w:r w:rsidR="00C70BFD" w:rsidRPr="005650FD">
        <w:rPr>
          <w:rFonts w:ascii="Times New Roman" w:hAnsi="Times New Roman"/>
          <w:i w:val="0"/>
          <w:sz w:val="32"/>
          <w:szCs w:val="32"/>
        </w:rPr>
        <w:t>I</w:t>
      </w:r>
      <w:r w:rsidRPr="005650FD">
        <w:rPr>
          <w:rFonts w:ascii="Times New Roman" w:hAnsi="Times New Roman"/>
          <w:i w:val="0"/>
          <w:sz w:val="32"/>
          <w:szCs w:val="32"/>
        </w:rPr>
        <w:t>O 2017</w:t>
      </w:r>
    </w:p>
    <w:p w:rsidR="0036521B" w:rsidRPr="005650FD" w:rsidRDefault="0036521B" w:rsidP="00E70C05">
      <w:pPr>
        <w:pStyle w:val="Ttulo2"/>
        <w:spacing w:before="0" w:after="0"/>
        <w:rPr>
          <w:rFonts w:ascii="Times New Roman" w:hAnsi="Times New Roman"/>
          <w:i w:val="0"/>
          <w:sz w:val="32"/>
          <w:szCs w:val="32"/>
        </w:rPr>
      </w:pPr>
    </w:p>
    <w:p w:rsidR="0036521B" w:rsidRPr="00DB72DA" w:rsidRDefault="0036521B" w:rsidP="00E70C05">
      <w:pPr>
        <w:rPr>
          <w:b/>
          <w:sz w:val="32"/>
          <w:szCs w:val="32"/>
          <w:lang w:val="es-DO"/>
        </w:rPr>
      </w:pPr>
    </w:p>
    <w:p w:rsidR="0036521B" w:rsidRDefault="0036521B" w:rsidP="0036521B">
      <w:pPr>
        <w:pStyle w:val="Textoindependiente2"/>
        <w:jc w:val="center"/>
        <w:rPr>
          <w:rFonts w:ascii="Times New Roman" w:hAnsi="Times New Roman"/>
          <w:sz w:val="20"/>
          <w:szCs w:val="20"/>
        </w:rPr>
      </w:pPr>
    </w:p>
    <w:p w:rsidR="0036521B" w:rsidRDefault="0036521B" w:rsidP="0036521B">
      <w:pPr>
        <w:rPr>
          <w:lang w:val="es-ES"/>
        </w:rPr>
      </w:pPr>
    </w:p>
    <w:p w:rsidR="0036521B" w:rsidRDefault="0036521B" w:rsidP="0036521B">
      <w:pPr>
        <w:rPr>
          <w:lang w:val="es-ES"/>
        </w:rPr>
      </w:pPr>
    </w:p>
    <w:p w:rsidR="0036521B" w:rsidRDefault="0036521B" w:rsidP="0036521B">
      <w:pPr>
        <w:rPr>
          <w:lang w:val="es-ES"/>
        </w:rPr>
      </w:pPr>
    </w:p>
    <w:p w:rsidR="0036521B" w:rsidRDefault="0036521B" w:rsidP="0036521B">
      <w:pPr>
        <w:rPr>
          <w:lang w:val="es-ES"/>
        </w:rPr>
      </w:pPr>
    </w:p>
    <w:p w:rsidR="0036521B" w:rsidRDefault="0036521B" w:rsidP="0036521B">
      <w:pPr>
        <w:rPr>
          <w:lang w:val="es-ES"/>
        </w:rPr>
      </w:pPr>
    </w:p>
    <w:p w:rsidR="0036521B" w:rsidRDefault="0036521B" w:rsidP="0036521B">
      <w:pPr>
        <w:rPr>
          <w:lang w:val="es-ES"/>
        </w:rPr>
      </w:pPr>
    </w:p>
    <w:p w:rsidR="0036521B" w:rsidRDefault="0036521B" w:rsidP="0036521B">
      <w:pPr>
        <w:rPr>
          <w:lang w:val="es-ES"/>
        </w:rPr>
      </w:pPr>
    </w:p>
    <w:p w:rsidR="0036521B" w:rsidRDefault="0036521B" w:rsidP="0036521B">
      <w:pPr>
        <w:rPr>
          <w:lang w:val="es-ES"/>
        </w:rPr>
      </w:pPr>
    </w:p>
    <w:p w:rsidR="0036521B" w:rsidRDefault="0036521B" w:rsidP="0036521B">
      <w:pPr>
        <w:rPr>
          <w:lang w:val="es-ES"/>
        </w:rPr>
      </w:pPr>
    </w:p>
    <w:p w:rsidR="0036521B" w:rsidRDefault="0036521B" w:rsidP="0036521B">
      <w:pPr>
        <w:rPr>
          <w:lang w:val="es-ES"/>
        </w:rPr>
      </w:pPr>
    </w:p>
    <w:p w:rsidR="00E70C05" w:rsidRDefault="00E70C05" w:rsidP="0088442D">
      <w:pPr>
        <w:pStyle w:val="Prrafodelista"/>
        <w:ind w:left="0"/>
        <w:rPr>
          <w:rFonts w:ascii="Times New Roman" w:hAnsi="Times New Roman"/>
          <w:b/>
          <w:sz w:val="32"/>
          <w:szCs w:val="32"/>
        </w:rPr>
      </w:pPr>
    </w:p>
    <w:p w:rsidR="00E70C05" w:rsidRDefault="00E70C05" w:rsidP="0088442D">
      <w:pPr>
        <w:pStyle w:val="Prrafodelista"/>
        <w:ind w:left="0"/>
        <w:rPr>
          <w:rFonts w:ascii="Times New Roman" w:hAnsi="Times New Roman"/>
          <w:b/>
          <w:sz w:val="32"/>
          <w:szCs w:val="32"/>
        </w:rPr>
      </w:pPr>
    </w:p>
    <w:p w:rsidR="00E70C05" w:rsidRPr="0086117D" w:rsidRDefault="00E70C05" w:rsidP="00FE5028">
      <w:pPr>
        <w:pStyle w:val="Prrafodelista"/>
        <w:ind w:left="0"/>
        <w:jc w:val="center"/>
        <w:rPr>
          <w:rFonts w:ascii="Times New Roman" w:hAnsi="Times New Roman"/>
          <w:sz w:val="24"/>
          <w:szCs w:val="24"/>
        </w:rPr>
      </w:pPr>
      <w:r w:rsidRPr="0086117D">
        <w:rPr>
          <w:rFonts w:ascii="Times New Roman" w:hAnsi="Times New Roman"/>
          <w:sz w:val="24"/>
          <w:szCs w:val="24"/>
        </w:rPr>
        <w:t>SEPTIEMBRE 2017</w:t>
      </w:r>
    </w:p>
    <w:p w:rsidR="00FC4A89" w:rsidRPr="00BA3DFD" w:rsidRDefault="00FC4A89" w:rsidP="00BD01AA">
      <w:pPr>
        <w:pStyle w:val="Ttulo2"/>
        <w:spacing w:before="0" w:after="0"/>
        <w:rPr>
          <w:rFonts w:ascii="Times New Roman" w:hAnsi="Times New Roman"/>
        </w:rPr>
      </w:pPr>
      <w:r w:rsidRPr="00BA3DFD">
        <w:rPr>
          <w:rFonts w:ascii="Times New Roman" w:hAnsi="Times New Roman"/>
          <w:i w:val="0"/>
          <w:sz w:val="28"/>
          <w:szCs w:val="28"/>
        </w:rPr>
        <w:lastRenderedPageBreak/>
        <w:t>INFORME DE LOGROS Y SEGUIMIENTO DE LA PLANIFICACION ESTRATEGICA ENERO - JUN</w:t>
      </w:r>
      <w:r w:rsidR="00C70BFD" w:rsidRPr="00BA3DFD">
        <w:rPr>
          <w:rFonts w:ascii="Times New Roman" w:hAnsi="Times New Roman"/>
          <w:i w:val="0"/>
          <w:sz w:val="28"/>
          <w:szCs w:val="28"/>
        </w:rPr>
        <w:t>I</w:t>
      </w:r>
      <w:r w:rsidRPr="00BA3DFD">
        <w:rPr>
          <w:rFonts w:ascii="Times New Roman" w:hAnsi="Times New Roman"/>
          <w:i w:val="0"/>
          <w:sz w:val="28"/>
          <w:szCs w:val="28"/>
        </w:rPr>
        <w:t>O</w:t>
      </w:r>
      <w:r w:rsidRPr="00BA3DFD">
        <w:rPr>
          <w:rFonts w:ascii="Times New Roman" w:hAnsi="Times New Roman"/>
          <w:i w:val="0"/>
          <w:sz w:val="32"/>
          <w:szCs w:val="32"/>
        </w:rPr>
        <w:t xml:space="preserve"> 2017</w:t>
      </w:r>
      <w:r w:rsidR="00CC09D9" w:rsidRPr="00BA3DFD">
        <w:rPr>
          <w:rFonts w:ascii="Times New Roman" w:hAnsi="Times New Roman"/>
        </w:rPr>
        <w:t xml:space="preserve"> </w:t>
      </w:r>
    </w:p>
    <w:p w:rsidR="00FC4A89" w:rsidRDefault="00FC4A89" w:rsidP="00FC4A89">
      <w:pPr>
        <w:pStyle w:val="Ttulo2"/>
        <w:spacing w:before="0" w:after="0"/>
        <w:jc w:val="center"/>
        <w:rPr>
          <w:rFonts w:ascii="Times New Roman" w:hAnsi="Times New Roman"/>
        </w:rPr>
      </w:pPr>
    </w:p>
    <w:p w:rsidR="00FC4A89" w:rsidRPr="00FC4A89" w:rsidRDefault="00FC4A89" w:rsidP="00FC4A89">
      <w:pPr>
        <w:pStyle w:val="Ttulo2"/>
        <w:spacing w:before="0" w:after="0"/>
        <w:jc w:val="center"/>
        <w:rPr>
          <w:rFonts w:ascii="Times New Roman" w:hAnsi="Times New Roman"/>
          <w:b w:val="0"/>
          <w:bCs w:val="0"/>
          <w:i w:val="0"/>
          <w:iCs w:val="0"/>
        </w:rPr>
      </w:pPr>
    </w:p>
    <w:p w:rsidR="00FC4A89" w:rsidRDefault="00FC4A89" w:rsidP="00BA3DFD">
      <w:pPr>
        <w:pStyle w:val="Ttulo2"/>
        <w:spacing w:before="0" w:after="0" w:line="480" w:lineRule="auto"/>
        <w:jc w:val="both"/>
        <w:rPr>
          <w:rFonts w:ascii="Times New Roman" w:hAnsi="Times New Roman"/>
          <w:b w:val="0"/>
          <w:bCs w:val="0"/>
          <w:i w:val="0"/>
          <w:iCs w:val="0"/>
        </w:rPr>
      </w:pPr>
      <w:r>
        <w:rPr>
          <w:rFonts w:ascii="Times New Roman" w:hAnsi="Times New Roman"/>
          <w:b w:val="0"/>
          <w:bCs w:val="0"/>
          <w:i w:val="0"/>
          <w:iCs w:val="0"/>
        </w:rPr>
        <w:t xml:space="preserve"> L</w:t>
      </w:r>
      <w:r w:rsidR="0088442D" w:rsidRPr="00FC4A89">
        <w:rPr>
          <w:rFonts w:ascii="Times New Roman" w:hAnsi="Times New Roman"/>
          <w:b w:val="0"/>
          <w:bCs w:val="0"/>
          <w:i w:val="0"/>
          <w:iCs w:val="0"/>
        </w:rPr>
        <w:t>os lineamientos estratégicos</w:t>
      </w:r>
      <w:r>
        <w:rPr>
          <w:rFonts w:ascii="Times New Roman" w:hAnsi="Times New Roman"/>
          <w:b w:val="0"/>
          <w:bCs w:val="0"/>
          <w:i w:val="0"/>
          <w:iCs w:val="0"/>
        </w:rPr>
        <w:t xml:space="preserve"> del INVI</w:t>
      </w:r>
      <w:r w:rsidR="0088442D" w:rsidRPr="00FC4A89">
        <w:rPr>
          <w:rFonts w:ascii="Times New Roman" w:hAnsi="Times New Roman"/>
          <w:b w:val="0"/>
          <w:bCs w:val="0"/>
          <w:i w:val="0"/>
          <w:iCs w:val="0"/>
        </w:rPr>
        <w:t xml:space="preserve"> definidos p</w:t>
      </w:r>
      <w:r w:rsidR="00853295" w:rsidRPr="00FC4A89">
        <w:rPr>
          <w:rFonts w:ascii="Times New Roman" w:hAnsi="Times New Roman"/>
          <w:b w:val="0"/>
          <w:bCs w:val="0"/>
          <w:i w:val="0"/>
          <w:iCs w:val="0"/>
        </w:rPr>
        <w:t>a</w:t>
      </w:r>
      <w:r>
        <w:rPr>
          <w:rFonts w:ascii="Times New Roman" w:hAnsi="Times New Roman"/>
          <w:b w:val="0"/>
          <w:bCs w:val="0"/>
          <w:i w:val="0"/>
          <w:iCs w:val="0"/>
        </w:rPr>
        <w:t xml:space="preserve">ra la gestión institucional, están </w:t>
      </w:r>
      <w:r w:rsidR="00853295" w:rsidRPr="00FC4A89">
        <w:rPr>
          <w:rFonts w:ascii="Times New Roman" w:hAnsi="Times New Roman"/>
          <w:b w:val="0"/>
          <w:bCs w:val="0"/>
          <w:i w:val="0"/>
          <w:iCs w:val="0"/>
        </w:rPr>
        <w:t xml:space="preserve"> enfocados en </w:t>
      </w:r>
      <w:r w:rsidR="003F099D">
        <w:rPr>
          <w:rFonts w:ascii="Times New Roman" w:hAnsi="Times New Roman"/>
          <w:b w:val="0"/>
          <w:bCs w:val="0"/>
          <w:i w:val="0"/>
          <w:iCs w:val="0"/>
        </w:rPr>
        <w:t>4</w:t>
      </w:r>
      <w:r w:rsidR="00853295" w:rsidRPr="00FC4A89">
        <w:rPr>
          <w:rFonts w:ascii="Times New Roman" w:hAnsi="Times New Roman"/>
          <w:b w:val="0"/>
          <w:bCs w:val="0"/>
          <w:i w:val="0"/>
          <w:iCs w:val="0"/>
        </w:rPr>
        <w:t xml:space="preserve"> E</w:t>
      </w:r>
      <w:r w:rsidR="0088442D" w:rsidRPr="00FC4A89">
        <w:rPr>
          <w:rFonts w:ascii="Times New Roman" w:hAnsi="Times New Roman"/>
          <w:b w:val="0"/>
          <w:bCs w:val="0"/>
          <w:i w:val="0"/>
          <w:iCs w:val="0"/>
        </w:rPr>
        <w:t>jes fundamentales</w:t>
      </w:r>
      <w:r w:rsidR="00C626DB">
        <w:rPr>
          <w:rFonts w:ascii="Times New Roman" w:hAnsi="Times New Roman"/>
          <w:b w:val="0"/>
          <w:bCs w:val="0"/>
          <w:i w:val="0"/>
          <w:iCs w:val="0"/>
        </w:rPr>
        <w:t xml:space="preserve"> que son</w:t>
      </w:r>
      <w:r w:rsidR="0088442D" w:rsidRPr="00FC4A89">
        <w:rPr>
          <w:rFonts w:ascii="Times New Roman" w:hAnsi="Times New Roman"/>
          <w:b w:val="0"/>
          <w:bCs w:val="0"/>
          <w:i w:val="0"/>
          <w:iCs w:val="0"/>
        </w:rPr>
        <w:t>:</w:t>
      </w:r>
      <w:r w:rsidR="00CC09D9" w:rsidRPr="00FC4A89">
        <w:rPr>
          <w:rFonts w:ascii="Times New Roman" w:hAnsi="Times New Roman"/>
          <w:b w:val="0"/>
          <w:bCs w:val="0"/>
          <w:i w:val="0"/>
          <w:iCs w:val="0"/>
        </w:rPr>
        <w:t xml:space="preserve"> </w:t>
      </w:r>
    </w:p>
    <w:p w:rsidR="00FC4A89" w:rsidRDefault="00FC4A89" w:rsidP="00FC4A89">
      <w:pPr>
        <w:pStyle w:val="Ttulo2"/>
        <w:spacing w:before="0" w:after="0"/>
        <w:jc w:val="both"/>
        <w:rPr>
          <w:rFonts w:ascii="Times New Roman" w:hAnsi="Times New Roman"/>
          <w:b w:val="0"/>
          <w:bCs w:val="0"/>
          <w:i w:val="0"/>
          <w:iCs w:val="0"/>
        </w:rPr>
      </w:pPr>
    </w:p>
    <w:p w:rsidR="007A42E1" w:rsidRDefault="002E4690" w:rsidP="00C626DB">
      <w:pPr>
        <w:pStyle w:val="Ttulo2"/>
        <w:spacing w:before="0" w:after="0" w:line="480" w:lineRule="auto"/>
        <w:jc w:val="both"/>
        <w:rPr>
          <w:rFonts w:ascii="Times New Roman" w:hAnsi="Times New Roman"/>
          <w:b w:val="0"/>
          <w:bCs w:val="0"/>
          <w:i w:val="0"/>
          <w:iCs w:val="0"/>
        </w:rPr>
      </w:pPr>
      <w:r w:rsidRPr="00FC4A89">
        <w:rPr>
          <w:rFonts w:ascii="Times New Roman" w:hAnsi="Times New Roman"/>
          <w:b w:val="0"/>
          <w:bCs w:val="0"/>
          <w:i w:val="0"/>
          <w:iCs w:val="0"/>
        </w:rPr>
        <w:t>Producción</w:t>
      </w:r>
      <w:r w:rsidR="0088442D" w:rsidRPr="00FC4A89">
        <w:rPr>
          <w:rFonts w:ascii="Times New Roman" w:hAnsi="Times New Roman"/>
          <w:b w:val="0"/>
          <w:bCs w:val="0"/>
          <w:i w:val="0"/>
          <w:iCs w:val="0"/>
        </w:rPr>
        <w:t xml:space="preserve"> de </w:t>
      </w:r>
      <w:r w:rsidRPr="00FC4A89">
        <w:rPr>
          <w:rFonts w:ascii="Times New Roman" w:hAnsi="Times New Roman"/>
          <w:b w:val="0"/>
          <w:bCs w:val="0"/>
          <w:i w:val="0"/>
          <w:iCs w:val="0"/>
        </w:rPr>
        <w:t>Viv</w:t>
      </w:r>
      <w:r w:rsidR="00853295" w:rsidRPr="00FC4A89">
        <w:rPr>
          <w:rFonts w:ascii="Times New Roman" w:hAnsi="Times New Roman"/>
          <w:b w:val="0"/>
          <w:bCs w:val="0"/>
          <w:i w:val="0"/>
          <w:iCs w:val="0"/>
        </w:rPr>
        <w:t>iendas Dignas, que incluye los P</w:t>
      </w:r>
      <w:r w:rsidRPr="00FC4A89">
        <w:rPr>
          <w:rFonts w:ascii="Times New Roman" w:hAnsi="Times New Roman"/>
          <w:b w:val="0"/>
          <w:bCs w:val="0"/>
          <w:i w:val="0"/>
          <w:iCs w:val="0"/>
        </w:rPr>
        <w:t>ro</w:t>
      </w:r>
      <w:r w:rsidR="00853295" w:rsidRPr="00FC4A89">
        <w:rPr>
          <w:rFonts w:ascii="Times New Roman" w:hAnsi="Times New Roman"/>
          <w:b w:val="0"/>
          <w:bCs w:val="0"/>
          <w:i w:val="0"/>
          <w:iCs w:val="0"/>
        </w:rPr>
        <w:t xml:space="preserve">gramas y </w:t>
      </w:r>
      <w:r w:rsidR="00A571B8" w:rsidRPr="00FC4A89">
        <w:rPr>
          <w:rFonts w:ascii="Times New Roman" w:hAnsi="Times New Roman"/>
          <w:b w:val="0"/>
          <w:bCs w:val="0"/>
          <w:i w:val="0"/>
          <w:iCs w:val="0"/>
        </w:rPr>
        <w:t>P</w:t>
      </w:r>
      <w:r w:rsidR="0036521B" w:rsidRPr="00FC4A89">
        <w:rPr>
          <w:rFonts w:ascii="Times New Roman" w:hAnsi="Times New Roman"/>
          <w:b w:val="0"/>
          <w:bCs w:val="0"/>
          <w:i w:val="0"/>
          <w:iCs w:val="0"/>
        </w:rPr>
        <w:t xml:space="preserve">royectos prioritarios, </w:t>
      </w:r>
      <w:r w:rsidR="00853295" w:rsidRPr="00FC4A89">
        <w:rPr>
          <w:rFonts w:ascii="Times New Roman" w:hAnsi="Times New Roman"/>
          <w:b w:val="0"/>
          <w:bCs w:val="0"/>
          <w:i w:val="0"/>
          <w:iCs w:val="0"/>
        </w:rPr>
        <w:t>Metas P</w:t>
      </w:r>
      <w:r w:rsidRPr="00FC4A89">
        <w:rPr>
          <w:rFonts w:ascii="Times New Roman" w:hAnsi="Times New Roman"/>
          <w:b w:val="0"/>
          <w:bCs w:val="0"/>
          <w:i w:val="0"/>
          <w:iCs w:val="0"/>
        </w:rPr>
        <w:t>residenciales, Programa de Titulación de viviendas con</w:t>
      </w:r>
      <w:r w:rsidR="00BD07CB" w:rsidRPr="00FC4A89">
        <w:rPr>
          <w:rFonts w:ascii="Times New Roman" w:hAnsi="Times New Roman"/>
          <w:b w:val="0"/>
          <w:bCs w:val="0"/>
          <w:i w:val="0"/>
          <w:iCs w:val="0"/>
        </w:rPr>
        <w:t>struidas en terrenos del Estado</w:t>
      </w:r>
      <w:r w:rsidR="003F099D">
        <w:rPr>
          <w:rFonts w:ascii="Times New Roman" w:hAnsi="Times New Roman"/>
          <w:b w:val="0"/>
          <w:bCs w:val="0"/>
          <w:i w:val="0"/>
          <w:iCs w:val="0"/>
        </w:rPr>
        <w:t xml:space="preserve"> y</w:t>
      </w:r>
      <w:r w:rsidR="00C626DB">
        <w:rPr>
          <w:rFonts w:ascii="Times New Roman" w:hAnsi="Times New Roman"/>
          <w:b w:val="0"/>
          <w:bCs w:val="0"/>
          <w:i w:val="0"/>
          <w:iCs w:val="0"/>
        </w:rPr>
        <w:t xml:space="preserve"> el</w:t>
      </w:r>
      <w:r w:rsidR="003F099D">
        <w:rPr>
          <w:rFonts w:ascii="Times New Roman" w:hAnsi="Times New Roman"/>
          <w:b w:val="0"/>
          <w:bCs w:val="0"/>
          <w:i w:val="0"/>
          <w:iCs w:val="0"/>
        </w:rPr>
        <w:t xml:space="preserve"> Fortalecimiento Institucional</w:t>
      </w:r>
      <w:r w:rsidR="00C70BFD">
        <w:rPr>
          <w:rFonts w:ascii="Times New Roman" w:hAnsi="Times New Roman"/>
          <w:b w:val="0"/>
          <w:bCs w:val="0"/>
          <w:i w:val="0"/>
          <w:iCs w:val="0"/>
        </w:rPr>
        <w:t>.</w:t>
      </w:r>
    </w:p>
    <w:p w:rsidR="0048508E" w:rsidRPr="00BA3DFD" w:rsidRDefault="00E31155" w:rsidP="00BA3DFD">
      <w:pPr>
        <w:pStyle w:val="Ttulo2"/>
        <w:spacing w:before="0" w:after="0" w:line="480" w:lineRule="auto"/>
        <w:jc w:val="both"/>
        <w:rPr>
          <w:rFonts w:ascii="Times New Roman" w:hAnsi="Times New Roman"/>
          <w:b w:val="0"/>
          <w:bCs w:val="0"/>
          <w:i w:val="0"/>
          <w:iCs w:val="0"/>
        </w:rPr>
      </w:pPr>
      <w:r w:rsidRPr="00FC4A89">
        <w:rPr>
          <w:rFonts w:ascii="Times New Roman" w:hAnsi="Times New Roman"/>
          <w:b w:val="0"/>
          <w:bCs w:val="0"/>
          <w:i w:val="0"/>
          <w:iCs w:val="0"/>
        </w:rPr>
        <w:t xml:space="preserve"> </w:t>
      </w:r>
      <w:r w:rsidR="00FC4A89" w:rsidRPr="00FC4A89">
        <w:rPr>
          <w:rFonts w:ascii="Times New Roman" w:hAnsi="Times New Roman"/>
          <w:b w:val="0"/>
          <w:bCs w:val="0"/>
          <w:i w:val="0"/>
          <w:iCs w:val="0"/>
        </w:rPr>
        <w:t>A continuación un resumen</w:t>
      </w:r>
      <w:r w:rsidR="00FC4A89">
        <w:rPr>
          <w:rFonts w:ascii="Times New Roman" w:hAnsi="Times New Roman"/>
          <w:b w:val="0"/>
          <w:bCs w:val="0"/>
          <w:i w:val="0"/>
          <w:iCs w:val="0"/>
        </w:rPr>
        <w:t xml:space="preserve"> de</w:t>
      </w:r>
      <w:r w:rsidR="00FC4A89" w:rsidRPr="00FC4A89">
        <w:rPr>
          <w:rFonts w:ascii="Times New Roman" w:hAnsi="Times New Roman"/>
          <w:b w:val="0"/>
          <w:bCs w:val="0"/>
          <w:i w:val="0"/>
          <w:iCs w:val="0"/>
        </w:rPr>
        <w:t xml:space="preserve"> </w:t>
      </w:r>
      <w:r w:rsidR="007813A0" w:rsidRPr="00FC4A89">
        <w:rPr>
          <w:rFonts w:ascii="Times New Roman" w:hAnsi="Times New Roman"/>
          <w:b w:val="0"/>
          <w:bCs w:val="0"/>
          <w:i w:val="0"/>
          <w:iCs w:val="0"/>
        </w:rPr>
        <w:t xml:space="preserve"> los avances de mayor impact</w:t>
      </w:r>
      <w:r w:rsidR="00C626DB">
        <w:rPr>
          <w:rFonts w:ascii="Times New Roman" w:hAnsi="Times New Roman"/>
          <w:b w:val="0"/>
          <w:bCs w:val="0"/>
          <w:i w:val="0"/>
          <w:iCs w:val="0"/>
        </w:rPr>
        <w:t>o y relevancia dirigidos a los ciudadanos y c</w:t>
      </w:r>
      <w:r w:rsidR="007813A0" w:rsidRPr="00FC4A89">
        <w:rPr>
          <w:rFonts w:ascii="Times New Roman" w:hAnsi="Times New Roman"/>
          <w:b w:val="0"/>
          <w:bCs w:val="0"/>
          <w:i w:val="0"/>
          <w:iCs w:val="0"/>
        </w:rPr>
        <w:t>iudadanas</w:t>
      </w:r>
      <w:r w:rsidR="00FC4A89">
        <w:rPr>
          <w:rFonts w:ascii="Times New Roman" w:hAnsi="Times New Roman"/>
          <w:b w:val="0"/>
          <w:bCs w:val="0"/>
          <w:i w:val="0"/>
          <w:iCs w:val="0"/>
        </w:rPr>
        <w:t xml:space="preserve"> durante el semestre enero – junio 2017</w:t>
      </w:r>
      <w:r w:rsidR="007813A0" w:rsidRPr="00FC4A89">
        <w:rPr>
          <w:rFonts w:ascii="Times New Roman" w:hAnsi="Times New Roman"/>
          <w:b w:val="0"/>
          <w:bCs w:val="0"/>
          <w:i w:val="0"/>
          <w:iCs w:val="0"/>
        </w:rPr>
        <w:t>:</w:t>
      </w:r>
    </w:p>
    <w:p w:rsidR="0048508E" w:rsidRDefault="0048508E" w:rsidP="0048508E">
      <w:pPr>
        <w:pStyle w:val="Textoindependiente"/>
        <w:spacing w:line="480" w:lineRule="auto"/>
        <w:contextualSpacing/>
        <w:rPr>
          <w:rFonts w:ascii="Times New Roman" w:hAnsi="Times New Roman"/>
        </w:rPr>
      </w:pPr>
      <w:r w:rsidRPr="00F41FEC">
        <w:rPr>
          <w:rFonts w:ascii="Times New Roman" w:hAnsi="Times New Roman"/>
        </w:rPr>
        <w:t xml:space="preserve">Dentro del Eje Producción de Viviendas Dignas, se </w:t>
      </w:r>
      <w:r>
        <w:rPr>
          <w:rFonts w:ascii="Times New Roman" w:hAnsi="Times New Roman"/>
        </w:rPr>
        <w:t>ejecutó el programa  de Viviendas Nuevas donde fueron  terminadas</w:t>
      </w:r>
      <w:r w:rsidRPr="00E46232">
        <w:rPr>
          <w:rFonts w:ascii="Times New Roman" w:hAnsi="Times New Roman"/>
        </w:rPr>
        <w:t xml:space="preserve"> </w:t>
      </w:r>
      <w:r>
        <w:rPr>
          <w:rFonts w:ascii="Times New Roman" w:hAnsi="Times New Roman"/>
        </w:rPr>
        <w:t xml:space="preserve">y entregadas unas  </w:t>
      </w:r>
      <w:r w:rsidRPr="00E46232">
        <w:rPr>
          <w:rFonts w:ascii="Times New Roman" w:hAnsi="Times New Roman"/>
          <w:b/>
        </w:rPr>
        <w:t>963</w:t>
      </w:r>
      <w:r>
        <w:rPr>
          <w:rFonts w:ascii="Times New Roman" w:hAnsi="Times New Roman"/>
          <w:b/>
        </w:rPr>
        <w:t xml:space="preserve"> </w:t>
      </w:r>
      <w:r w:rsidRPr="00E46232">
        <w:rPr>
          <w:rFonts w:ascii="Times New Roman" w:hAnsi="Times New Roman"/>
        </w:rPr>
        <w:t>viviendas</w:t>
      </w:r>
      <w:r>
        <w:rPr>
          <w:rFonts w:ascii="Times New Roman" w:hAnsi="Times New Roman"/>
        </w:rPr>
        <w:t>. De estas 7</w:t>
      </w:r>
      <w:r w:rsidRPr="00D57854">
        <w:rPr>
          <w:rFonts w:ascii="Times New Roman" w:hAnsi="Times New Roman"/>
          <w:b/>
        </w:rPr>
        <w:t>07</w:t>
      </w:r>
      <w:r>
        <w:rPr>
          <w:rFonts w:ascii="Times New Roman" w:hAnsi="Times New Roman"/>
        </w:rPr>
        <w:t xml:space="preserve"> fueron para familias que perdieron sus casas por las inundaciones y </w:t>
      </w:r>
      <w:r w:rsidRPr="00C626DB">
        <w:rPr>
          <w:rFonts w:ascii="Times New Roman" w:hAnsi="Times New Roman"/>
          <w:b/>
        </w:rPr>
        <w:t>256</w:t>
      </w:r>
      <w:r>
        <w:rPr>
          <w:rFonts w:ascii="Times New Roman" w:hAnsi="Times New Roman"/>
        </w:rPr>
        <w:t xml:space="preserve"> viviendas   corresponden a 4 proyectos  para familias de bajos ingresos que se ejecuta con un acuerdo con la Corporación Andina de Fomento (CAF) y el Estado Dominicano. También     se  avanza en la ejecución </w:t>
      </w:r>
      <w:r w:rsidRPr="00A849F4">
        <w:rPr>
          <w:rFonts w:ascii="Times New Roman" w:hAnsi="Times New Roman"/>
        </w:rPr>
        <w:t xml:space="preserve">de  </w:t>
      </w:r>
      <w:r w:rsidRPr="00C626DB">
        <w:rPr>
          <w:rFonts w:ascii="Times New Roman" w:hAnsi="Times New Roman"/>
          <w:b/>
        </w:rPr>
        <w:t>1,650</w:t>
      </w:r>
      <w:r w:rsidRPr="00A849F4">
        <w:rPr>
          <w:rFonts w:ascii="Times New Roman" w:hAnsi="Times New Roman"/>
        </w:rPr>
        <w:t xml:space="preserve"> viviendas de cuales, </w:t>
      </w:r>
      <w:r w:rsidRPr="00C626DB">
        <w:rPr>
          <w:rFonts w:ascii="Times New Roman" w:hAnsi="Times New Roman"/>
          <w:b/>
        </w:rPr>
        <w:t>786</w:t>
      </w:r>
      <w:r w:rsidRPr="00A849F4">
        <w:rPr>
          <w:rFonts w:ascii="Times New Roman" w:hAnsi="Times New Roman"/>
        </w:rPr>
        <w:t xml:space="preserve"> se ejecutan dentro del plan de emergencia para las familias damnificadas por las lluvias e</w:t>
      </w:r>
      <w:r>
        <w:rPr>
          <w:rFonts w:ascii="Times New Roman" w:hAnsi="Times New Roman"/>
        </w:rPr>
        <w:t>n</w:t>
      </w:r>
      <w:r w:rsidRPr="00A849F4">
        <w:rPr>
          <w:rFonts w:ascii="Times New Roman" w:hAnsi="Times New Roman"/>
        </w:rPr>
        <w:t xml:space="preserve"> las</w:t>
      </w:r>
      <w:r>
        <w:rPr>
          <w:rFonts w:ascii="Times New Roman" w:hAnsi="Times New Roman"/>
        </w:rPr>
        <w:t xml:space="preserve"> provincias </w:t>
      </w:r>
      <w:r w:rsidRPr="00F86635">
        <w:rPr>
          <w:rFonts w:ascii="Times New Roman" w:hAnsi="Times New Roman"/>
        </w:rPr>
        <w:t xml:space="preserve"> </w:t>
      </w:r>
      <w:r>
        <w:rPr>
          <w:rFonts w:ascii="Times New Roman" w:hAnsi="Times New Roman"/>
        </w:rPr>
        <w:t>Samaná, Sánchez Ramírez, La Vega, Puerto Plata, Hermanas Mirabal,  María Trinidad Sánchez, Espaillat, Santiago y Montecristi.</w:t>
      </w:r>
      <w:r w:rsidRPr="002013B7">
        <w:rPr>
          <w:rFonts w:ascii="Times New Roman" w:hAnsi="Times New Roman"/>
        </w:rPr>
        <w:t xml:space="preserve"> </w:t>
      </w:r>
      <w:r>
        <w:rPr>
          <w:rFonts w:ascii="Times New Roman" w:hAnsi="Times New Roman"/>
        </w:rPr>
        <w:t xml:space="preserve">Además se encuentran en etapa de ejecución   unos   </w:t>
      </w:r>
      <w:r w:rsidRPr="00A849F4">
        <w:rPr>
          <w:rFonts w:ascii="Times New Roman" w:hAnsi="Times New Roman"/>
          <w:b/>
        </w:rPr>
        <w:t>510</w:t>
      </w:r>
      <w:r>
        <w:rPr>
          <w:rFonts w:ascii="Times New Roman" w:hAnsi="Times New Roman"/>
        </w:rPr>
        <w:t xml:space="preserve">   cambios de piso de tierra por  piso de cemento en estas provincias.  También dentro del acuerdo con el CAF  tenemos otros 10 proyectos con 864 viviendas en ejecución.  </w:t>
      </w:r>
    </w:p>
    <w:p w:rsidR="00C626DB" w:rsidRDefault="0048508E" w:rsidP="00CC09D9">
      <w:pPr>
        <w:pStyle w:val="Textoindependiente"/>
        <w:spacing w:line="480" w:lineRule="auto"/>
        <w:contextualSpacing/>
        <w:rPr>
          <w:rFonts w:ascii="Times New Roman" w:hAnsi="Times New Roman"/>
        </w:rPr>
      </w:pPr>
      <w:r>
        <w:rPr>
          <w:rFonts w:ascii="Times New Roman" w:hAnsi="Times New Roman"/>
        </w:rPr>
        <w:t xml:space="preserve">  </w:t>
      </w:r>
    </w:p>
    <w:p w:rsidR="00BA3DFD" w:rsidRDefault="00BA3DFD" w:rsidP="00CC09D9">
      <w:pPr>
        <w:pStyle w:val="Textoindependiente"/>
        <w:spacing w:line="480" w:lineRule="auto"/>
        <w:contextualSpacing/>
        <w:rPr>
          <w:rFonts w:ascii="Times New Roman" w:hAnsi="Times New Roman"/>
        </w:rPr>
      </w:pPr>
    </w:p>
    <w:p w:rsidR="00BA3DFD" w:rsidRPr="00C626DB" w:rsidRDefault="00BA3DFD" w:rsidP="00CC09D9">
      <w:pPr>
        <w:pStyle w:val="Textoindependiente"/>
        <w:spacing w:line="480" w:lineRule="auto"/>
        <w:contextualSpacing/>
        <w:rPr>
          <w:rFonts w:ascii="Times New Roman" w:hAnsi="Times New Roman"/>
        </w:rPr>
      </w:pPr>
    </w:p>
    <w:tbl>
      <w:tblPr>
        <w:tblW w:w="9416" w:type="dxa"/>
        <w:tblInd w:w="70" w:type="dxa"/>
        <w:tblCellMar>
          <w:left w:w="70" w:type="dxa"/>
          <w:right w:w="70" w:type="dxa"/>
        </w:tblCellMar>
        <w:tblLook w:val="04A0" w:firstRow="1" w:lastRow="0" w:firstColumn="1" w:lastColumn="0" w:noHBand="0" w:noVBand="1"/>
      </w:tblPr>
      <w:tblGrid>
        <w:gridCol w:w="3512"/>
        <w:gridCol w:w="2157"/>
        <w:gridCol w:w="2138"/>
        <w:gridCol w:w="1734"/>
      </w:tblGrid>
      <w:tr w:rsidR="00321B3F" w:rsidRPr="00C626DB" w:rsidTr="00D311E9">
        <w:trPr>
          <w:trHeight w:val="375"/>
        </w:trPr>
        <w:tc>
          <w:tcPr>
            <w:tcW w:w="9416" w:type="dxa"/>
            <w:gridSpan w:val="4"/>
            <w:tcBorders>
              <w:top w:val="nil"/>
              <w:left w:val="nil"/>
              <w:bottom w:val="nil"/>
              <w:right w:val="nil"/>
            </w:tcBorders>
            <w:shd w:val="clear" w:color="auto" w:fill="auto"/>
            <w:noWrap/>
            <w:vAlign w:val="bottom"/>
            <w:hideMark/>
          </w:tcPr>
          <w:p w:rsidR="00321B3F" w:rsidRPr="00ED1E67" w:rsidRDefault="00321B3F" w:rsidP="00D311E9">
            <w:pPr>
              <w:rPr>
                <w:rFonts w:ascii="Arial" w:hAnsi="Arial" w:cs="Arial"/>
                <w:lang w:val="es-DO" w:eastAsia="es-DO"/>
              </w:rPr>
            </w:pPr>
            <w:r>
              <w:rPr>
                <w:rFonts w:ascii="Arial" w:hAnsi="Arial" w:cs="Arial"/>
                <w:noProof/>
                <w:lang w:val="es-DO" w:eastAsia="es-DO"/>
              </w:rPr>
              <w:lastRenderedPageBreak/>
              <w:drawing>
                <wp:anchor distT="0" distB="0" distL="114300" distR="114300" simplePos="0" relativeHeight="251663360" behindDoc="0" locked="0" layoutInCell="1" allowOverlap="1">
                  <wp:simplePos x="0" y="0"/>
                  <wp:positionH relativeFrom="column">
                    <wp:posOffset>-329565</wp:posOffset>
                  </wp:positionH>
                  <wp:positionV relativeFrom="paragraph">
                    <wp:posOffset>-164465</wp:posOffset>
                  </wp:positionV>
                  <wp:extent cx="798195" cy="762635"/>
                  <wp:effectExtent l="19050" t="0" r="1905" b="0"/>
                  <wp:wrapNone/>
                  <wp:docPr id="5" name="3 Imagen"/>
                  <wp:cNvGraphicFramePr/>
                  <a:graphic xmlns:a="http://schemas.openxmlformats.org/drawingml/2006/main">
                    <a:graphicData uri="http://schemas.openxmlformats.org/drawingml/2006/picture">
                      <pic:pic xmlns:pic="http://schemas.openxmlformats.org/drawingml/2006/picture">
                        <pic:nvPicPr>
                          <pic:cNvPr id="4" name="3 Imagen" descr="C:\Users\Ogarcia\Desktop\INVI 2017\General\logo-invi-f.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8195" cy="762635"/>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400"/>
            </w:tblGrid>
            <w:tr w:rsidR="00321B3F" w:rsidRPr="00C626DB" w:rsidTr="00D311E9">
              <w:trPr>
                <w:trHeight w:val="375"/>
                <w:tblCellSpacing w:w="0" w:type="dxa"/>
              </w:trPr>
              <w:tc>
                <w:tcPr>
                  <w:tcW w:w="9400" w:type="dxa"/>
                  <w:tcBorders>
                    <w:top w:val="nil"/>
                    <w:left w:val="nil"/>
                    <w:bottom w:val="nil"/>
                    <w:right w:val="nil"/>
                  </w:tcBorders>
                  <w:shd w:val="clear" w:color="auto" w:fill="auto"/>
                  <w:noWrap/>
                  <w:vAlign w:val="bottom"/>
                  <w:hideMark/>
                </w:tcPr>
                <w:p w:rsidR="00321B3F" w:rsidRPr="00ED1E67" w:rsidRDefault="00321B3F" w:rsidP="00D311E9">
                  <w:pPr>
                    <w:jc w:val="center"/>
                    <w:rPr>
                      <w:b/>
                      <w:bCs/>
                      <w:sz w:val="28"/>
                      <w:szCs w:val="28"/>
                      <w:lang w:val="es-DO" w:eastAsia="es-DO"/>
                    </w:rPr>
                  </w:pPr>
                  <w:r w:rsidRPr="00ED1E67">
                    <w:rPr>
                      <w:b/>
                      <w:bCs/>
                      <w:sz w:val="28"/>
                      <w:szCs w:val="28"/>
                      <w:lang w:val="es-DO" w:eastAsia="es-DO"/>
                    </w:rPr>
                    <w:t xml:space="preserve">        </w:t>
                  </w:r>
                </w:p>
              </w:tc>
            </w:tr>
          </w:tbl>
          <w:p w:rsidR="00321B3F" w:rsidRPr="00ED1E67" w:rsidRDefault="00321B3F" w:rsidP="00D311E9">
            <w:pPr>
              <w:rPr>
                <w:rFonts w:ascii="Arial" w:hAnsi="Arial" w:cs="Arial"/>
                <w:lang w:val="es-DO" w:eastAsia="es-DO"/>
              </w:rPr>
            </w:pPr>
          </w:p>
        </w:tc>
      </w:tr>
      <w:tr w:rsidR="00321B3F" w:rsidRPr="00C626DB" w:rsidTr="00D311E9">
        <w:trPr>
          <w:trHeight w:val="375"/>
        </w:trPr>
        <w:tc>
          <w:tcPr>
            <w:tcW w:w="9416" w:type="dxa"/>
            <w:gridSpan w:val="4"/>
            <w:tcBorders>
              <w:top w:val="nil"/>
              <w:left w:val="nil"/>
              <w:bottom w:val="nil"/>
              <w:right w:val="nil"/>
            </w:tcBorders>
            <w:shd w:val="clear" w:color="auto" w:fill="auto"/>
            <w:noWrap/>
            <w:vAlign w:val="bottom"/>
            <w:hideMark/>
          </w:tcPr>
          <w:p w:rsidR="00321B3F" w:rsidRPr="00ED1E67" w:rsidRDefault="00321B3F" w:rsidP="00D311E9">
            <w:pPr>
              <w:jc w:val="center"/>
              <w:rPr>
                <w:b/>
                <w:bCs/>
                <w:sz w:val="28"/>
                <w:szCs w:val="28"/>
                <w:lang w:val="es-DO" w:eastAsia="es-DO"/>
              </w:rPr>
            </w:pPr>
            <w:r w:rsidRPr="00ED1E67">
              <w:rPr>
                <w:b/>
                <w:bCs/>
                <w:sz w:val="28"/>
                <w:szCs w:val="28"/>
                <w:lang w:val="es-DO" w:eastAsia="es-DO"/>
              </w:rPr>
              <w:t>CUADRO RESUMEN DE SOLUCIONES HABITACIONALES</w:t>
            </w:r>
          </w:p>
        </w:tc>
      </w:tr>
      <w:tr w:rsidR="00321B3F" w:rsidRPr="00C626DB" w:rsidTr="00D311E9">
        <w:trPr>
          <w:trHeight w:val="375"/>
        </w:trPr>
        <w:tc>
          <w:tcPr>
            <w:tcW w:w="9416" w:type="dxa"/>
            <w:gridSpan w:val="4"/>
            <w:tcBorders>
              <w:top w:val="nil"/>
              <w:left w:val="nil"/>
              <w:bottom w:val="nil"/>
              <w:right w:val="nil"/>
            </w:tcBorders>
            <w:shd w:val="clear" w:color="auto" w:fill="auto"/>
            <w:noWrap/>
            <w:vAlign w:val="bottom"/>
            <w:hideMark/>
          </w:tcPr>
          <w:p w:rsidR="00321B3F" w:rsidRPr="00ED1E67" w:rsidRDefault="00321B3F" w:rsidP="00D311E9">
            <w:pPr>
              <w:jc w:val="center"/>
              <w:rPr>
                <w:b/>
                <w:bCs/>
                <w:sz w:val="28"/>
                <w:szCs w:val="28"/>
                <w:lang w:val="es-DO" w:eastAsia="es-DO"/>
              </w:rPr>
            </w:pPr>
            <w:r w:rsidRPr="00ED1E67">
              <w:rPr>
                <w:b/>
                <w:bCs/>
                <w:sz w:val="28"/>
                <w:szCs w:val="28"/>
                <w:lang w:val="es-DO" w:eastAsia="es-DO"/>
              </w:rPr>
              <w:t xml:space="preserve">TERMINADAS Y EN EJECUCION POR PROGRAMA  </w:t>
            </w:r>
          </w:p>
        </w:tc>
      </w:tr>
      <w:tr w:rsidR="00321B3F" w:rsidRPr="00ED1E67" w:rsidTr="00D311E9">
        <w:trPr>
          <w:trHeight w:val="390"/>
        </w:trPr>
        <w:tc>
          <w:tcPr>
            <w:tcW w:w="9416" w:type="dxa"/>
            <w:gridSpan w:val="4"/>
            <w:tcBorders>
              <w:top w:val="nil"/>
              <w:left w:val="nil"/>
              <w:bottom w:val="nil"/>
              <w:right w:val="nil"/>
            </w:tcBorders>
            <w:shd w:val="clear" w:color="auto" w:fill="auto"/>
            <w:noWrap/>
            <w:vAlign w:val="bottom"/>
            <w:hideMark/>
          </w:tcPr>
          <w:p w:rsidR="00321B3F" w:rsidRPr="00ED1E67" w:rsidRDefault="00321B3F" w:rsidP="00D311E9">
            <w:pPr>
              <w:jc w:val="center"/>
              <w:rPr>
                <w:b/>
                <w:bCs/>
                <w:sz w:val="28"/>
                <w:szCs w:val="28"/>
                <w:lang w:val="es-DO" w:eastAsia="es-DO"/>
              </w:rPr>
            </w:pPr>
            <w:r w:rsidRPr="00ED1E67">
              <w:rPr>
                <w:b/>
                <w:bCs/>
                <w:sz w:val="28"/>
                <w:szCs w:val="28"/>
                <w:lang w:val="es-DO" w:eastAsia="es-DO"/>
              </w:rPr>
              <w:t>PERIODO ENERO- JUNIO 2017</w:t>
            </w:r>
          </w:p>
        </w:tc>
      </w:tr>
      <w:tr w:rsidR="00321B3F" w:rsidRPr="00ED1E67" w:rsidTr="00D311E9">
        <w:trPr>
          <w:trHeight w:val="465"/>
        </w:trPr>
        <w:tc>
          <w:tcPr>
            <w:tcW w:w="3466" w:type="dxa"/>
            <w:tcBorders>
              <w:top w:val="single" w:sz="8" w:space="0" w:color="auto"/>
              <w:left w:val="single" w:sz="8" w:space="0" w:color="auto"/>
              <w:bottom w:val="nil"/>
              <w:right w:val="single" w:sz="8" w:space="0" w:color="auto"/>
            </w:tcBorders>
            <w:shd w:val="clear" w:color="000000" w:fill="FFFFFF"/>
            <w:noWrap/>
            <w:vAlign w:val="bottom"/>
            <w:hideMark/>
          </w:tcPr>
          <w:p w:rsidR="00321B3F" w:rsidRPr="00ED1E67" w:rsidRDefault="00321B3F" w:rsidP="00D311E9">
            <w:pPr>
              <w:rPr>
                <w:sz w:val="22"/>
                <w:szCs w:val="22"/>
                <w:lang w:val="es-DO" w:eastAsia="es-DO"/>
              </w:rPr>
            </w:pPr>
            <w:r w:rsidRPr="00ED1E67">
              <w:rPr>
                <w:sz w:val="22"/>
                <w:szCs w:val="22"/>
                <w:lang w:val="es-DO" w:eastAsia="es-DO"/>
              </w:rPr>
              <w:t> </w:t>
            </w:r>
          </w:p>
        </w:tc>
        <w:tc>
          <w:tcPr>
            <w:tcW w:w="2129" w:type="dxa"/>
            <w:tcBorders>
              <w:top w:val="single" w:sz="8" w:space="0" w:color="auto"/>
              <w:left w:val="nil"/>
              <w:bottom w:val="nil"/>
              <w:right w:val="nil"/>
            </w:tcBorders>
            <w:shd w:val="clear" w:color="000000" w:fill="FFFF99"/>
            <w:noWrap/>
            <w:vAlign w:val="bottom"/>
            <w:hideMark/>
          </w:tcPr>
          <w:p w:rsidR="00321B3F" w:rsidRPr="00ED1E67" w:rsidRDefault="00321B3F" w:rsidP="00D311E9">
            <w:pPr>
              <w:rPr>
                <w:b/>
                <w:bCs/>
                <w:sz w:val="22"/>
                <w:szCs w:val="22"/>
                <w:lang w:val="es-DO" w:eastAsia="es-DO"/>
              </w:rPr>
            </w:pPr>
            <w:r w:rsidRPr="00ED1E67">
              <w:rPr>
                <w:b/>
                <w:bCs/>
                <w:sz w:val="22"/>
                <w:szCs w:val="22"/>
                <w:lang w:val="es-DO" w:eastAsia="es-DO"/>
              </w:rPr>
              <w:t> </w:t>
            </w:r>
          </w:p>
        </w:tc>
        <w:tc>
          <w:tcPr>
            <w:tcW w:w="3821" w:type="dxa"/>
            <w:gridSpan w:val="2"/>
            <w:tcBorders>
              <w:top w:val="single" w:sz="8" w:space="0" w:color="auto"/>
              <w:left w:val="nil"/>
              <w:bottom w:val="nil"/>
              <w:right w:val="single" w:sz="8" w:space="0" w:color="000000"/>
            </w:tcBorders>
            <w:shd w:val="clear" w:color="000000" w:fill="FFFF99"/>
            <w:noWrap/>
            <w:vAlign w:val="bottom"/>
            <w:hideMark/>
          </w:tcPr>
          <w:p w:rsidR="00321B3F" w:rsidRPr="00ED1E67" w:rsidRDefault="00321B3F" w:rsidP="00D311E9">
            <w:pPr>
              <w:rPr>
                <w:b/>
                <w:bCs/>
                <w:sz w:val="22"/>
                <w:szCs w:val="22"/>
                <w:lang w:val="es-DO" w:eastAsia="es-DO"/>
              </w:rPr>
            </w:pPr>
            <w:r w:rsidRPr="00ED1E67">
              <w:rPr>
                <w:b/>
                <w:bCs/>
                <w:sz w:val="22"/>
                <w:szCs w:val="22"/>
                <w:lang w:val="es-DO" w:eastAsia="es-DO"/>
              </w:rPr>
              <w:t>UNIDADES HABITACIONALES</w:t>
            </w:r>
          </w:p>
        </w:tc>
      </w:tr>
      <w:tr w:rsidR="00321B3F" w:rsidRPr="00ED1E67" w:rsidTr="00D311E9">
        <w:trPr>
          <w:trHeight w:val="645"/>
        </w:trPr>
        <w:tc>
          <w:tcPr>
            <w:tcW w:w="3466" w:type="dxa"/>
            <w:tcBorders>
              <w:top w:val="nil"/>
              <w:left w:val="single" w:sz="8" w:space="0" w:color="auto"/>
              <w:bottom w:val="nil"/>
              <w:right w:val="single" w:sz="8" w:space="0" w:color="auto"/>
            </w:tcBorders>
            <w:shd w:val="clear" w:color="000000" w:fill="F2DDDC"/>
            <w:noWrap/>
            <w:vAlign w:val="bottom"/>
            <w:hideMark/>
          </w:tcPr>
          <w:p w:rsidR="00321B3F" w:rsidRPr="00ED1E67" w:rsidRDefault="00321B3F" w:rsidP="00D311E9">
            <w:pPr>
              <w:jc w:val="center"/>
              <w:rPr>
                <w:b/>
                <w:bCs/>
                <w:sz w:val="28"/>
                <w:szCs w:val="28"/>
                <w:lang w:val="es-DO" w:eastAsia="es-DO"/>
              </w:rPr>
            </w:pPr>
            <w:r w:rsidRPr="00ED1E67">
              <w:rPr>
                <w:b/>
                <w:bCs/>
                <w:sz w:val="28"/>
                <w:szCs w:val="28"/>
                <w:lang w:val="es-DO" w:eastAsia="es-DO"/>
              </w:rPr>
              <w:t>PROGRAMA</w:t>
            </w:r>
          </w:p>
        </w:tc>
        <w:tc>
          <w:tcPr>
            <w:tcW w:w="2129" w:type="dxa"/>
            <w:tcBorders>
              <w:top w:val="single" w:sz="4" w:space="0" w:color="auto"/>
              <w:left w:val="nil"/>
              <w:bottom w:val="nil"/>
              <w:right w:val="single" w:sz="4" w:space="0" w:color="auto"/>
            </w:tcBorders>
            <w:shd w:val="clear" w:color="000000" w:fill="F2DDDC"/>
            <w:vAlign w:val="bottom"/>
            <w:hideMark/>
          </w:tcPr>
          <w:p w:rsidR="00321B3F" w:rsidRPr="00ED1E67" w:rsidRDefault="00321B3F" w:rsidP="00D311E9">
            <w:pPr>
              <w:jc w:val="center"/>
              <w:rPr>
                <w:b/>
                <w:bCs/>
                <w:sz w:val="24"/>
                <w:szCs w:val="24"/>
                <w:lang w:val="es-DO" w:eastAsia="es-DO"/>
              </w:rPr>
            </w:pPr>
            <w:r w:rsidRPr="00ED1E67">
              <w:rPr>
                <w:b/>
                <w:bCs/>
                <w:sz w:val="24"/>
                <w:szCs w:val="24"/>
                <w:lang w:val="es-DO" w:eastAsia="es-DO"/>
              </w:rPr>
              <w:t>VIVIENDAS TERMINADAS</w:t>
            </w:r>
          </w:p>
        </w:tc>
        <w:tc>
          <w:tcPr>
            <w:tcW w:w="2110" w:type="dxa"/>
            <w:tcBorders>
              <w:top w:val="single" w:sz="4" w:space="0" w:color="auto"/>
              <w:left w:val="nil"/>
              <w:bottom w:val="nil"/>
              <w:right w:val="single" w:sz="4" w:space="0" w:color="auto"/>
            </w:tcBorders>
            <w:shd w:val="clear" w:color="000000" w:fill="F2DDDC"/>
            <w:vAlign w:val="bottom"/>
            <w:hideMark/>
          </w:tcPr>
          <w:p w:rsidR="00321B3F" w:rsidRPr="00ED1E67" w:rsidRDefault="00321B3F" w:rsidP="00D311E9">
            <w:pPr>
              <w:jc w:val="center"/>
              <w:rPr>
                <w:b/>
                <w:bCs/>
                <w:sz w:val="24"/>
                <w:szCs w:val="24"/>
                <w:lang w:val="es-DO" w:eastAsia="es-DO"/>
              </w:rPr>
            </w:pPr>
            <w:r w:rsidRPr="00ED1E67">
              <w:rPr>
                <w:b/>
                <w:bCs/>
                <w:sz w:val="24"/>
                <w:szCs w:val="24"/>
                <w:lang w:val="es-DO" w:eastAsia="es-DO"/>
              </w:rPr>
              <w:t xml:space="preserve">VIVIENDAS EN EJECUCION  </w:t>
            </w:r>
          </w:p>
        </w:tc>
        <w:tc>
          <w:tcPr>
            <w:tcW w:w="1711" w:type="dxa"/>
            <w:tcBorders>
              <w:top w:val="single" w:sz="4" w:space="0" w:color="auto"/>
              <w:left w:val="nil"/>
              <w:bottom w:val="nil"/>
              <w:right w:val="single" w:sz="4" w:space="0" w:color="auto"/>
            </w:tcBorders>
            <w:shd w:val="clear" w:color="000000" w:fill="F2DDDC"/>
            <w:noWrap/>
            <w:vAlign w:val="bottom"/>
            <w:hideMark/>
          </w:tcPr>
          <w:p w:rsidR="00321B3F" w:rsidRPr="00ED1E67" w:rsidRDefault="00321B3F" w:rsidP="00D311E9">
            <w:pPr>
              <w:jc w:val="center"/>
              <w:rPr>
                <w:b/>
                <w:bCs/>
                <w:sz w:val="24"/>
                <w:szCs w:val="24"/>
                <w:lang w:val="es-DO" w:eastAsia="es-DO"/>
              </w:rPr>
            </w:pPr>
            <w:r w:rsidRPr="00ED1E67">
              <w:rPr>
                <w:b/>
                <w:bCs/>
                <w:sz w:val="24"/>
                <w:szCs w:val="24"/>
                <w:lang w:val="es-DO" w:eastAsia="es-DO"/>
              </w:rPr>
              <w:t xml:space="preserve">  TOTAL</w:t>
            </w:r>
          </w:p>
        </w:tc>
      </w:tr>
      <w:tr w:rsidR="00321B3F" w:rsidRPr="00ED1E67" w:rsidTr="00D311E9">
        <w:trPr>
          <w:trHeight w:val="465"/>
        </w:trPr>
        <w:tc>
          <w:tcPr>
            <w:tcW w:w="3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1B3F" w:rsidRPr="00ED1E67" w:rsidRDefault="00321B3F" w:rsidP="00D311E9">
            <w:pPr>
              <w:jc w:val="center"/>
              <w:rPr>
                <w:sz w:val="24"/>
                <w:szCs w:val="24"/>
                <w:lang w:val="es-DO" w:eastAsia="es-DO"/>
              </w:rPr>
            </w:pPr>
            <w:r w:rsidRPr="00ED1E67">
              <w:rPr>
                <w:sz w:val="24"/>
                <w:szCs w:val="24"/>
                <w:lang w:val="es-DO" w:eastAsia="es-DO"/>
              </w:rPr>
              <w:t>VIVIENDAS NUEVAS</w:t>
            </w:r>
          </w:p>
        </w:tc>
        <w:tc>
          <w:tcPr>
            <w:tcW w:w="2129" w:type="dxa"/>
            <w:tcBorders>
              <w:top w:val="single" w:sz="4" w:space="0" w:color="auto"/>
              <w:left w:val="nil"/>
              <w:bottom w:val="single" w:sz="4" w:space="0" w:color="auto"/>
              <w:right w:val="single" w:sz="4" w:space="0" w:color="auto"/>
            </w:tcBorders>
            <w:shd w:val="clear" w:color="auto" w:fill="auto"/>
            <w:noWrap/>
            <w:vAlign w:val="bottom"/>
            <w:hideMark/>
          </w:tcPr>
          <w:p w:rsidR="00321B3F" w:rsidRPr="00ED1E67" w:rsidRDefault="00321B3F" w:rsidP="00D311E9">
            <w:pPr>
              <w:jc w:val="center"/>
              <w:rPr>
                <w:sz w:val="36"/>
                <w:szCs w:val="36"/>
                <w:lang w:val="es-DO" w:eastAsia="es-DO"/>
              </w:rPr>
            </w:pPr>
            <w:r w:rsidRPr="00ED1E67">
              <w:rPr>
                <w:sz w:val="36"/>
                <w:szCs w:val="36"/>
                <w:lang w:val="es-DO" w:eastAsia="es-DO"/>
              </w:rPr>
              <w:t>963</w:t>
            </w:r>
          </w:p>
        </w:tc>
        <w:tc>
          <w:tcPr>
            <w:tcW w:w="2110" w:type="dxa"/>
            <w:tcBorders>
              <w:top w:val="single" w:sz="4" w:space="0" w:color="auto"/>
              <w:left w:val="nil"/>
              <w:bottom w:val="single" w:sz="4" w:space="0" w:color="auto"/>
              <w:right w:val="single" w:sz="4" w:space="0" w:color="auto"/>
            </w:tcBorders>
            <w:shd w:val="clear" w:color="auto" w:fill="auto"/>
            <w:noWrap/>
            <w:vAlign w:val="bottom"/>
            <w:hideMark/>
          </w:tcPr>
          <w:p w:rsidR="00321B3F" w:rsidRPr="00ED1E67" w:rsidRDefault="00321B3F" w:rsidP="00D311E9">
            <w:pPr>
              <w:jc w:val="center"/>
              <w:rPr>
                <w:sz w:val="36"/>
                <w:szCs w:val="36"/>
                <w:lang w:val="es-DO" w:eastAsia="es-DO"/>
              </w:rPr>
            </w:pPr>
            <w:r w:rsidRPr="00ED1E67">
              <w:rPr>
                <w:sz w:val="36"/>
                <w:szCs w:val="36"/>
                <w:lang w:val="es-DO" w:eastAsia="es-DO"/>
              </w:rPr>
              <w:t>1,650</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rsidR="00321B3F" w:rsidRPr="00ED1E67" w:rsidRDefault="00321B3F" w:rsidP="00D311E9">
            <w:pPr>
              <w:jc w:val="center"/>
              <w:rPr>
                <w:sz w:val="36"/>
                <w:szCs w:val="36"/>
                <w:lang w:val="es-DO" w:eastAsia="es-DO"/>
              </w:rPr>
            </w:pPr>
            <w:r w:rsidRPr="00ED1E67">
              <w:rPr>
                <w:sz w:val="36"/>
                <w:szCs w:val="36"/>
                <w:lang w:val="es-DO" w:eastAsia="es-DO"/>
              </w:rPr>
              <w:t>2,613</w:t>
            </w:r>
          </w:p>
        </w:tc>
      </w:tr>
      <w:tr w:rsidR="00321B3F" w:rsidRPr="00ED1E67" w:rsidTr="00D311E9">
        <w:trPr>
          <w:trHeight w:val="975"/>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321B3F" w:rsidRPr="00ED1E67" w:rsidRDefault="00321B3F" w:rsidP="00D311E9">
            <w:pPr>
              <w:jc w:val="center"/>
              <w:rPr>
                <w:sz w:val="24"/>
                <w:szCs w:val="24"/>
                <w:lang w:val="es-DO" w:eastAsia="es-DO"/>
              </w:rPr>
            </w:pPr>
            <w:r w:rsidRPr="00ED1E67">
              <w:rPr>
                <w:sz w:val="24"/>
                <w:szCs w:val="24"/>
                <w:lang w:val="es-DO" w:eastAsia="es-DO"/>
              </w:rPr>
              <w:t xml:space="preserve">MEJORAMIENTO Y/O RECONSTRUCCION DE VIVIVENDAS </w:t>
            </w:r>
          </w:p>
        </w:tc>
        <w:tc>
          <w:tcPr>
            <w:tcW w:w="2129" w:type="dxa"/>
            <w:tcBorders>
              <w:top w:val="nil"/>
              <w:left w:val="nil"/>
              <w:bottom w:val="single" w:sz="4" w:space="0" w:color="auto"/>
              <w:right w:val="single" w:sz="4" w:space="0" w:color="auto"/>
            </w:tcBorders>
            <w:shd w:val="clear" w:color="auto" w:fill="auto"/>
            <w:noWrap/>
            <w:vAlign w:val="bottom"/>
            <w:hideMark/>
          </w:tcPr>
          <w:p w:rsidR="00321B3F" w:rsidRPr="00ED1E67" w:rsidRDefault="00321B3F" w:rsidP="00D311E9">
            <w:pPr>
              <w:jc w:val="center"/>
              <w:rPr>
                <w:sz w:val="36"/>
                <w:szCs w:val="36"/>
                <w:lang w:val="es-DO" w:eastAsia="es-DO"/>
              </w:rPr>
            </w:pPr>
            <w:r w:rsidRPr="00ED1E67">
              <w:rPr>
                <w:sz w:val="36"/>
                <w:szCs w:val="36"/>
                <w:lang w:val="es-DO" w:eastAsia="es-DO"/>
              </w:rPr>
              <w:t>1,459</w:t>
            </w:r>
          </w:p>
        </w:tc>
        <w:tc>
          <w:tcPr>
            <w:tcW w:w="2110" w:type="dxa"/>
            <w:tcBorders>
              <w:top w:val="nil"/>
              <w:left w:val="nil"/>
              <w:bottom w:val="single" w:sz="4" w:space="0" w:color="auto"/>
              <w:right w:val="single" w:sz="4" w:space="0" w:color="auto"/>
            </w:tcBorders>
            <w:shd w:val="clear" w:color="auto" w:fill="auto"/>
            <w:noWrap/>
            <w:vAlign w:val="bottom"/>
            <w:hideMark/>
          </w:tcPr>
          <w:p w:rsidR="00321B3F" w:rsidRPr="00ED1E67" w:rsidRDefault="00321B3F" w:rsidP="00D311E9">
            <w:pPr>
              <w:jc w:val="center"/>
              <w:rPr>
                <w:sz w:val="36"/>
                <w:szCs w:val="36"/>
                <w:lang w:val="es-DO" w:eastAsia="es-DO"/>
              </w:rPr>
            </w:pPr>
            <w:r w:rsidRPr="00ED1E67">
              <w:rPr>
                <w:sz w:val="36"/>
                <w:szCs w:val="36"/>
                <w:lang w:val="es-DO" w:eastAsia="es-DO"/>
              </w:rPr>
              <w:t>0</w:t>
            </w:r>
          </w:p>
        </w:tc>
        <w:tc>
          <w:tcPr>
            <w:tcW w:w="1711" w:type="dxa"/>
            <w:tcBorders>
              <w:top w:val="nil"/>
              <w:left w:val="nil"/>
              <w:bottom w:val="single" w:sz="4" w:space="0" w:color="auto"/>
              <w:right w:val="single" w:sz="4" w:space="0" w:color="auto"/>
            </w:tcBorders>
            <w:shd w:val="clear" w:color="auto" w:fill="auto"/>
            <w:noWrap/>
            <w:vAlign w:val="bottom"/>
            <w:hideMark/>
          </w:tcPr>
          <w:p w:rsidR="00321B3F" w:rsidRPr="00ED1E67" w:rsidRDefault="00321B3F" w:rsidP="00D311E9">
            <w:pPr>
              <w:jc w:val="center"/>
              <w:rPr>
                <w:sz w:val="36"/>
                <w:szCs w:val="36"/>
                <w:lang w:val="es-DO" w:eastAsia="es-DO"/>
              </w:rPr>
            </w:pPr>
            <w:r w:rsidRPr="00ED1E67">
              <w:rPr>
                <w:sz w:val="36"/>
                <w:szCs w:val="36"/>
                <w:lang w:val="es-DO" w:eastAsia="es-DO"/>
              </w:rPr>
              <w:t>1,459</w:t>
            </w:r>
          </w:p>
        </w:tc>
      </w:tr>
      <w:tr w:rsidR="00321B3F" w:rsidRPr="00ED1E67" w:rsidTr="00D311E9">
        <w:trPr>
          <w:trHeight w:val="765"/>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321B3F" w:rsidRPr="00ED1E67" w:rsidRDefault="00321B3F" w:rsidP="00D311E9">
            <w:pPr>
              <w:jc w:val="center"/>
              <w:rPr>
                <w:sz w:val="24"/>
                <w:szCs w:val="24"/>
                <w:lang w:val="es-DO" w:eastAsia="es-DO"/>
              </w:rPr>
            </w:pPr>
            <w:r w:rsidRPr="00ED1E67">
              <w:rPr>
                <w:sz w:val="24"/>
                <w:szCs w:val="24"/>
                <w:lang w:val="es-DO" w:eastAsia="es-DO"/>
              </w:rPr>
              <w:t>CAMBIO DE PISO DE TIERROA POR PISO DE CEMENTO</w:t>
            </w:r>
          </w:p>
        </w:tc>
        <w:tc>
          <w:tcPr>
            <w:tcW w:w="2129" w:type="dxa"/>
            <w:tcBorders>
              <w:top w:val="nil"/>
              <w:left w:val="nil"/>
              <w:bottom w:val="single" w:sz="4" w:space="0" w:color="auto"/>
              <w:right w:val="single" w:sz="4" w:space="0" w:color="auto"/>
            </w:tcBorders>
            <w:shd w:val="clear" w:color="auto" w:fill="auto"/>
            <w:noWrap/>
            <w:vAlign w:val="bottom"/>
            <w:hideMark/>
          </w:tcPr>
          <w:p w:rsidR="00321B3F" w:rsidRPr="00ED1E67" w:rsidRDefault="00321B3F" w:rsidP="00D311E9">
            <w:pPr>
              <w:jc w:val="center"/>
              <w:rPr>
                <w:sz w:val="36"/>
                <w:szCs w:val="36"/>
                <w:lang w:val="es-DO" w:eastAsia="es-DO"/>
              </w:rPr>
            </w:pPr>
            <w:r w:rsidRPr="00ED1E67">
              <w:rPr>
                <w:sz w:val="36"/>
                <w:szCs w:val="36"/>
                <w:lang w:val="es-DO" w:eastAsia="es-DO"/>
              </w:rPr>
              <w:t>732</w:t>
            </w:r>
          </w:p>
        </w:tc>
        <w:tc>
          <w:tcPr>
            <w:tcW w:w="2110" w:type="dxa"/>
            <w:tcBorders>
              <w:top w:val="nil"/>
              <w:left w:val="nil"/>
              <w:bottom w:val="single" w:sz="4" w:space="0" w:color="auto"/>
              <w:right w:val="single" w:sz="4" w:space="0" w:color="auto"/>
            </w:tcBorders>
            <w:shd w:val="clear" w:color="auto" w:fill="auto"/>
            <w:noWrap/>
            <w:vAlign w:val="bottom"/>
            <w:hideMark/>
          </w:tcPr>
          <w:p w:rsidR="00321B3F" w:rsidRPr="00ED1E67" w:rsidRDefault="00321B3F" w:rsidP="00D311E9">
            <w:pPr>
              <w:jc w:val="center"/>
              <w:rPr>
                <w:sz w:val="36"/>
                <w:szCs w:val="36"/>
                <w:lang w:val="es-DO" w:eastAsia="es-DO"/>
              </w:rPr>
            </w:pPr>
            <w:r w:rsidRPr="00ED1E67">
              <w:rPr>
                <w:sz w:val="36"/>
                <w:szCs w:val="36"/>
                <w:lang w:val="es-DO" w:eastAsia="es-DO"/>
              </w:rPr>
              <w:t>510</w:t>
            </w:r>
          </w:p>
        </w:tc>
        <w:tc>
          <w:tcPr>
            <w:tcW w:w="1711" w:type="dxa"/>
            <w:tcBorders>
              <w:top w:val="nil"/>
              <w:left w:val="nil"/>
              <w:bottom w:val="single" w:sz="4" w:space="0" w:color="auto"/>
              <w:right w:val="single" w:sz="4" w:space="0" w:color="auto"/>
            </w:tcBorders>
            <w:shd w:val="clear" w:color="auto" w:fill="auto"/>
            <w:noWrap/>
            <w:vAlign w:val="bottom"/>
            <w:hideMark/>
          </w:tcPr>
          <w:p w:rsidR="00321B3F" w:rsidRPr="00ED1E67" w:rsidRDefault="00321B3F" w:rsidP="00D311E9">
            <w:pPr>
              <w:jc w:val="center"/>
              <w:rPr>
                <w:sz w:val="36"/>
                <w:szCs w:val="36"/>
                <w:lang w:val="es-DO" w:eastAsia="es-DO"/>
              </w:rPr>
            </w:pPr>
            <w:r w:rsidRPr="00ED1E67">
              <w:rPr>
                <w:sz w:val="36"/>
                <w:szCs w:val="36"/>
                <w:lang w:val="es-DO" w:eastAsia="es-DO"/>
              </w:rPr>
              <w:t>1,242</w:t>
            </w:r>
          </w:p>
        </w:tc>
      </w:tr>
      <w:tr w:rsidR="00321B3F" w:rsidRPr="00ED1E67" w:rsidTr="00D311E9">
        <w:trPr>
          <w:trHeight w:val="660"/>
        </w:trPr>
        <w:tc>
          <w:tcPr>
            <w:tcW w:w="3466" w:type="dxa"/>
            <w:tcBorders>
              <w:top w:val="nil"/>
              <w:left w:val="single" w:sz="4" w:space="0" w:color="auto"/>
              <w:bottom w:val="single" w:sz="4" w:space="0" w:color="auto"/>
              <w:right w:val="single" w:sz="4" w:space="0" w:color="auto"/>
            </w:tcBorders>
            <w:shd w:val="clear" w:color="auto" w:fill="auto"/>
            <w:vAlign w:val="bottom"/>
            <w:hideMark/>
          </w:tcPr>
          <w:p w:rsidR="00321B3F" w:rsidRPr="00ED1E67" w:rsidRDefault="00321B3F" w:rsidP="00D311E9">
            <w:pPr>
              <w:jc w:val="center"/>
              <w:rPr>
                <w:sz w:val="24"/>
                <w:szCs w:val="24"/>
                <w:lang w:val="es-DO" w:eastAsia="es-DO"/>
              </w:rPr>
            </w:pPr>
            <w:r w:rsidRPr="00ED1E67">
              <w:rPr>
                <w:sz w:val="24"/>
                <w:szCs w:val="24"/>
                <w:lang w:val="es-DO" w:eastAsia="es-DO"/>
              </w:rPr>
              <w:t>UNIDADES DE SERVICIO SANITARIO</w:t>
            </w:r>
          </w:p>
        </w:tc>
        <w:tc>
          <w:tcPr>
            <w:tcW w:w="2129" w:type="dxa"/>
            <w:tcBorders>
              <w:top w:val="nil"/>
              <w:left w:val="nil"/>
              <w:bottom w:val="single" w:sz="4" w:space="0" w:color="auto"/>
              <w:right w:val="single" w:sz="4" w:space="0" w:color="auto"/>
            </w:tcBorders>
            <w:shd w:val="clear" w:color="auto" w:fill="auto"/>
            <w:noWrap/>
            <w:vAlign w:val="bottom"/>
            <w:hideMark/>
          </w:tcPr>
          <w:p w:rsidR="00321B3F" w:rsidRPr="00ED1E67" w:rsidRDefault="00321B3F" w:rsidP="00D311E9">
            <w:pPr>
              <w:jc w:val="center"/>
              <w:rPr>
                <w:sz w:val="36"/>
                <w:szCs w:val="36"/>
                <w:lang w:val="es-DO" w:eastAsia="es-DO"/>
              </w:rPr>
            </w:pPr>
            <w:r w:rsidRPr="00ED1E67">
              <w:rPr>
                <w:sz w:val="36"/>
                <w:szCs w:val="36"/>
                <w:lang w:val="es-DO" w:eastAsia="es-DO"/>
              </w:rPr>
              <w:t>896</w:t>
            </w:r>
          </w:p>
        </w:tc>
        <w:tc>
          <w:tcPr>
            <w:tcW w:w="2110" w:type="dxa"/>
            <w:tcBorders>
              <w:top w:val="nil"/>
              <w:left w:val="nil"/>
              <w:bottom w:val="single" w:sz="4" w:space="0" w:color="auto"/>
              <w:right w:val="single" w:sz="4" w:space="0" w:color="auto"/>
            </w:tcBorders>
            <w:shd w:val="clear" w:color="auto" w:fill="auto"/>
            <w:noWrap/>
            <w:vAlign w:val="bottom"/>
            <w:hideMark/>
          </w:tcPr>
          <w:p w:rsidR="00321B3F" w:rsidRPr="00ED1E67" w:rsidRDefault="00321B3F" w:rsidP="00D311E9">
            <w:pPr>
              <w:jc w:val="center"/>
              <w:rPr>
                <w:sz w:val="36"/>
                <w:szCs w:val="36"/>
                <w:lang w:val="es-DO" w:eastAsia="es-DO"/>
              </w:rPr>
            </w:pPr>
            <w:r w:rsidRPr="00ED1E67">
              <w:rPr>
                <w:sz w:val="36"/>
                <w:szCs w:val="36"/>
                <w:lang w:val="es-DO" w:eastAsia="es-DO"/>
              </w:rPr>
              <w:t>0</w:t>
            </w:r>
          </w:p>
        </w:tc>
        <w:tc>
          <w:tcPr>
            <w:tcW w:w="1711" w:type="dxa"/>
            <w:tcBorders>
              <w:top w:val="nil"/>
              <w:left w:val="nil"/>
              <w:bottom w:val="single" w:sz="4" w:space="0" w:color="auto"/>
              <w:right w:val="single" w:sz="4" w:space="0" w:color="auto"/>
            </w:tcBorders>
            <w:shd w:val="clear" w:color="auto" w:fill="auto"/>
            <w:noWrap/>
            <w:vAlign w:val="bottom"/>
            <w:hideMark/>
          </w:tcPr>
          <w:p w:rsidR="00321B3F" w:rsidRPr="00ED1E67" w:rsidRDefault="00321B3F" w:rsidP="00D311E9">
            <w:pPr>
              <w:jc w:val="center"/>
              <w:rPr>
                <w:sz w:val="36"/>
                <w:szCs w:val="36"/>
                <w:lang w:val="es-DO" w:eastAsia="es-DO"/>
              </w:rPr>
            </w:pPr>
            <w:r w:rsidRPr="00ED1E67">
              <w:rPr>
                <w:sz w:val="36"/>
                <w:szCs w:val="36"/>
                <w:lang w:val="es-DO" w:eastAsia="es-DO"/>
              </w:rPr>
              <w:t>896</w:t>
            </w:r>
          </w:p>
        </w:tc>
      </w:tr>
      <w:tr w:rsidR="00321B3F" w:rsidRPr="00ED1E67" w:rsidTr="00D311E9">
        <w:trPr>
          <w:trHeight w:val="495"/>
        </w:trPr>
        <w:tc>
          <w:tcPr>
            <w:tcW w:w="3466" w:type="dxa"/>
            <w:tcBorders>
              <w:top w:val="nil"/>
              <w:left w:val="single" w:sz="8" w:space="0" w:color="auto"/>
              <w:bottom w:val="single" w:sz="8" w:space="0" w:color="auto"/>
              <w:right w:val="nil"/>
            </w:tcBorders>
            <w:shd w:val="clear" w:color="000000" w:fill="00B0F0"/>
            <w:noWrap/>
            <w:vAlign w:val="bottom"/>
            <w:hideMark/>
          </w:tcPr>
          <w:p w:rsidR="00321B3F" w:rsidRPr="00ED1E67" w:rsidRDefault="00321B3F" w:rsidP="00D311E9">
            <w:pPr>
              <w:jc w:val="center"/>
              <w:rPr>
                <w:b/>
                <w:bCs/>
                <w:sz w:val="28"/>
                <w:szCs w:val="28"/>
                <w:lang w:val="es-DO" w:eastAsia="es-DO"/>
              </w:rPr>
            </w:pPr>
            <w:r w:rsidRPr="00ED1E67">
              <w:rPr>
                <w:b/>
                <w:bCs/>
                <w:sz w:val="28"/>
                <w:szCs w:val="28"/>
                <w:lang w:val="es-DO" w:eastAsia="es-DO"/>
              </w:rPr>
              <w:t>TOTAL GENERAL</w:t>
            </w:r>
          </w:p>
        </w:tc>
        <w:tc>
          <w:tcPr>
            <w:tcW w:w="2129" w:type="dxa"/>
            <w:tcBorders>
              <w:top w:val="nil"/>
              <w:left w:val="single" w:sz="8" w:space="0" w:color="auto"/>
              <w:bottom w:val="single" w:sz="8" w:space="0" w:color="auto"/>
              <w:right w:val="single" w:sz="8" w:space="0" w:color="auto"/>
            </w:tcBorders>
            <w:shd w:val="clear" w:color="000000" w:fill="00B0F0"/>
            <w:noWrap/>
            <w:vAlign w:val="bottom"/>
            <w:hideMark/>
          </w:tcPr>
          <w:p w:rsidR="00321B3F" w:rsidRPr="00ED1E67" w:rsidRDefault="00321B3F" w:rsidP="00D311E9">
            <w:pPr>
              <w:rPr>
                <w:b/>
                <w:bCs/>
                <w:sz w:val="40"/>
                <w:szCs w:val="40"/>
                <w:lang w:val="es-DO" w:eastAsia="es-DO"/>
              </w:rPr>
            </w:pPr>
            <w:r w:rsidRPr="00ED1E67">
              <w:rPr>
                <w:b/>
                <w:bCs/>
                <w:sz w:val="40"/>
                <w:szCs w:val="40"/>
                <w:lang w:val="es-DO" w:eastAsia="es-DO"/>
              </w:rPr>
              <w:t xml:space="preserve">       4,050 </w:t>
            </w:r>
          </w:p>
        </w:tc>
        <w:tc>
          <w:tcPr>
            <w:tcW w:w="2110" w:type="dxa"/>
            <w:tcBorders>
              <w:top w:val="nil"/>
              <w:left w:val="nil"/>
              <w:bottom w:val="single" w:sz="8" w:space="0" w:color="auto"/>
              <w:right w:val="nil"/>
            </w:tcBorders>
            <w:shd w:val="clear" w:color="000000" w:fill="00B0F0"/>
            <w:noWrap/>
            <w:vAlign w:val="bottom"/>
            <w:hideMark/>
          </w:tcPr>
          <w:p w:rsidR="00321B3F" w:rsidRPr="00ED1E67" w:rsidRDefault="00321B3F" w:rsidP="00D311E9">
            <w:pPr>
              <w:jc w:val="center"/>
              <w:rPr>
                <w:b/>
                <w:bCs/>
                <w:sz w:val="40"/>
                <w:szCs w:val="40"/>
                <w:lang w:val="es-DO" w:eastAsia="es-DO"/>
              </w:rPr>
            </w:pPr>
            <w:r w:rsidRPr="00ED1E67">
              <w:rPr>
                <w:b/>
                <w:bCs/>
                <w:sz w:val="40"/>
                <w:szCs w:val="40"/>
                <w:lang w:val="es-DO" w:eastAsia="es-DO"/>
              </w:rPr>
              <w:t>2,160</w:t>
            </w:r>
          </w:p>
        </w:tc>
        <w:tc>
          <w:tcPr>
            <w:tcW w:w="1711" w:type="dxa"/>
            <w:tcBorders>
              <w:top w:val="nil"/>
              <w:left w:val="single" w:sz="8" w:space="0" w:color="auto"/>
              <w:bottom w:val="single" w:sz="8" w:space="0" w:color="auto"/>
              <w:right w:val="single" w:sz="8" w:space="0" w:color="auto"/>
            </w:tcBorders>
            <w:shd w:val="clear" w:color="000000" w:fill="00B0F0"/>
            <w:noWrap/>
            <w:vAlign w:val="bottom"/>
            <w:hideMark/>
          </w:tcPr>
          <w:p w:rsidR="00321B3F" w:rsidRPr="00ED1E67" w:rsidRDefault="00321B3F" w:rsidP="00D311E9">
            <w:pPr>
              <w:jc w:val="center"/>
              <w:rPr>
                <w:b/>
                <w:bCs/>
                <w:sz w:val="40"/>
                <w:szCs w:val="40"/>
                <w:lang w:val="es-DO" w:eastAsia="es-DO"/>
              </w:rPr>
            </w:pPr>
            <w:r w:rsidRPr="00ED1E67">
              <w:rPr>
                <w:b/>
                <w:bCs/>
                <w:sz w:val="40"/>
                <w:szCs w:val="40"/>
                <w:lang w:val="es-DO" w:eastAsia="es-DO"/>
              </w:rPr>
              <w:t>6,210</w:t>
            </w:r>
          </w:p>
        </w:tc>
      </w:tr>
    </w:tbl>
    <w:p w:rsidR="00ED1E67" w:rsidRDefault="00ED1E67" w:rsidP="00CC09D9">
      <w:pPr>
        <w:pStyle w:val="Textoindependiente"/>
        <w:spacing w:line="480" w:lineRule="auto"/>
        <w:contextualSpacing/>
        <w:rPr>
          <w:rFonts w:ascii="Times New Roman" w:hAnsi="Times New Roman"/>
          <w:b/>
        </w:rPr>
      </w:pPr>
    </w:p>
    <w:p w:rsidR="00BA3DFD" w:rsidRDefault="00BA3DFD" w:rsidP="00CC09D9">
      <w:pPr>
        <w:pStyle w:val="Textoindependiente"/>
        <w:spacing w:line="480" w:lineRule="auto"/>
        <w:contextualSpacing/>
        <w:rPr>
          <w:rFonts w:ascii="Times New Roman" w:hAnsi="Times New Roman"/>
          <w:b/>
        </w:rPr>
      </w:pPr>
    </w:p>
    <w:p w:rsidR="007A42E1" w:rsidRPr="00AC6BF9" w:rsidRDefault="007A42E1" w:rsidP="00CC09D9">
      <w:pPr>
        <w:pStyle w:val="Textoindependiente"/>
        <w:spacing w:line="480" w:lineRule="auto"/>
        <w:contextualSpacing/>
        <w:rPr>
          <w:rFonts w:ascii="Times New Roman" w:hAnsi="Times New Roman"/>
          <w:b/>
        </w:rPr>
      </w:pPr>
      <w:r w:rsidRPr="007A42E1">
        <w:rPr>
          <w:rFonts w:ascii="Times New Roman" w:hAnsi="Times New Roman"/>
          <w:b/>
        </w:rPr>
        <w:t>PLAN DE EMERGENCIA INVI SEGUN DECRETO No.</w:t>
      </w:r>
      <w:r w:rsidR="00DC5DFC">
        <w:rPr>
          <w:rFonts w:ascii="Times New Roman" w:hAnsi="Times New Roman"/>
          <w:b/>
        </w:rPr>
        <w:t xml:space="preserve"> </w:t>
      </w:r>
      <w:r w:rsidRPr="007A42E1">
        <w:rPr>
          <w:rFonts w:ascii="Times New Roman" w:hAnsi="Times New Roman"/>
          <w:b/>
        </w:rPr>
        <w:t>340-16</w:t>
      </w:r>
      <w:r w:rsidR="00C626DB">
        <w:rPr>
          <w:rFonts w:ascii="Times New Roman" w:hAnsi="Times New Roman"/>
          <w:b/>
        </w:rPr>
        <w:t>:</w:t>
      </w:r>
    </w:p>
    <w:p w:rsidR="00AC6BF9" w:rsidRPr="00C626DB" w:rsidRDefault="00720660" w:rsidP="00CC09D9">
      <w:pPr>
        <w:pStyle w:val="Textoindependiente"/>
        <w:spacing w:line="480" w:lineRule="auto"/>
        <w:contextualSpacing/>
        <w:rPr>
          <w:rFonts w:ascii="Times New Roman" w:hAnsi="Times New Roman"/>
        </w:rPr>
      </w:pPr>
      <w:r w:rsidRPr="00F41FEC">
        <w:rPr>
          <w:rFonts w:ascii="Times New Roman" w:hAnsi="Times New Roman"/>
        </w:rPr>
        <w:t>Durante el último</w:t>
      </w:r>
      <w:r>
        <w:rPr>
          <w:rFonts w:ascii="Times New Roman" w:hAnsi="Times New Roman"/>
        </w:rPr>
        <w:t xml:space="preserve"> trimestre del añ0 2016, fue iniciada</w:t>
      </w:r>
      <w:r w:rsidRPr="00F41FEC">
        <w:rPr>
          <w:rFonts w:ascii="Times New Roman" w:hAnsi="Times New Roman"/>
        </w:rPr>
        <w:t xml:space="preserve"> la ejecución del Plan de Emergencia </w:t>
      </w:r>
      <w:r w:rsidR="00F41FEC" w:rsidRPr="00F41FEC">
        <w:rPr>
          <w:rFonts w:ascii="Times New Roman" w:hAnsi="Times New Roman"/>
        </w:rPr>
        <w:t xml:space="preserve"> en respuesta a los estragos ocasionados po</w:t>
      </w:r>
      <w:r w:rsidR="005650FD">
        <w:rPr>
          <w:rFonts w:ascii="Times New Roman" w:hAnsi="Times New Roman"/>
        </w:rPr>
        <w:t>r las constantes lluvias que  afectaron</w:t>
      </w:r>
      <w:r w:rsidR="00F41FEC" w:rsidRPr="00F41FEC">
        <w:rPr>
          <w:rFonts w:ascii="Times New Roman" w:hAnsi="Times New Roman"/>
        </w:rPr>
        <w:t xml:space="preserve"> al territorio </w:t>
      </w:r>
      <w:r w:rsidR="005650FD">
        <w:rPr>
          <w:rFonts w:ascii="Times New Roman" w:hAnsi="Times New Roman"/>
        </w:rPr>
        <w:t xml:space="preserve">nacional, muy especialmente en la </w:t>
      </w:r>
      <w:r w:rsidR="00F41FEC" w:rsidRPr="00F41FEC">
        <w:rPr>
          <w:rFonts w:ascii="Times New Roman" w:hAnsi="Times New Roman"/>
        </w:rPr>
        <w:t xml:space="preserve"> Región del Cibao, destruyendo</w:t>
      </w:r>
      <w:r w:rsidR="00757D8D">
        <w:rPr>
          <w:rFonts w:ascii="Times New Roman" w:hAnsi="Times New Roman"/>
        </w:rPr>
        <w:t xml:space="preserve"> viviendas e infraestructura. El</w:t>
      </w:r>
      <w:r w:rsidR="00F41FEC" w:rsidRPr="00F41FEC">
        <w:rPr>
          <w:rFonts w:ascii="Times New Roman" w:hAnsi="Times New Roman"/>
        </w:rPr>
        <w:t xml:space="preserve"> INVI, como parte del Estado responsable de dar solución al problema</w:t>
      </w:r>
      <w:r w:rsidR="00F41FEC" w:rsidRPr="00BF76D5">
        <w:rPr>
          <w:rFonts w:ascii="Times New Roman" w:hAnsi="Times New Roman"/>
        </w:rPr>
        <w:t xml:space="preserve"> habitacional y contando con el apoyo del Excelentísimo Señor Presidente Lic.</w:t>
      </w:r>
      <w:r w:rsidR="00757D8D">
        <w:rPr>
          <w:rFonts w:ascii="Times New Roman" w:hAnsi="Times New Roman"/>
        </w:rPr>
        <w:t xml:space="preserve"> Danilo Medina Sánchez, continúo</w:t>
      </w:r>
      <w:r w:rsidR="005A7BA1">
        <w:rPr>
          <w:rFonts w:ascii="Times New Roman" w:hAnsi="Times New Roman"/>
        </w:rPr>
        <w:t xml:space="preserve"> durante este año 2017</w:t>
      </w:r>
      <w:r w:rsidR="00757D8D">
        <w:rPr>
          <w:rFonts w:ascii="Times New Roman" w:hAnsi="Times New Roman"/>
        </w:rPr>
        <w:t xml:space="preserve">  realizando  los trabajos de construcción </w:t>
      </w:r>
      <w:r w:rsidR="00F41FEC" w:rsidRPr="00BF76D5">
        <w:rPr>
          <w:rFonts w:ascii="Times New Roman" w:hAnsi="Times New Roman"/>
        </w:rPr>
        <w:t xml:space="preserve"> y reparación de las viv</w:t>
      </w:r>
      <w:r w:rsidR="00593B91" w:rsidRPr="00BF76D5">
        <w:rPr>
          <w:rFonts w:ascii="Times New Roman" w:hAnsi="Times New Roman"/>
        </w:rPr>
        <w:t xml:space="preserve">iendas con daños estructurales </w:t>
      </w:r>
      <w:r w:rsidR="00F41FEC" w:rsidRPr="00BF76D5">
        <w:rPr>
          <w:rFonts w:ascii="Times New Roman" w:hAnsi="Times New Roman"/>
        </w:rPr>
        <w:t>en las 15 provincias dec</w:t>
      </w:r>
      <w:r w:rsidR="00757D8D">
        <w:rPr>
          <w:rFonts w:ascii="Times New Roman" w:hAnsi="Times New Roman"/>
        </w:rPr>
        <w:t>laradas en estado de emergencia</w:t>
      </w:r>
      <w:r w:rsidR="00933C6E">
        <w:rPr>
          <w:rFonts w:ascii="Times New Roman" w:hAnsi="Times New Roman"/>
        </w:rPr>
        <w:t xml:space="preserve"> y otras localidades. Los logros obtenidos  son:</w:t>
      </w:r>
      <w:r w:rsidR="00933C6E" w:rsidRPr="00933C6E">
        <w:rPr>
          <w:rFonts w:ascii="Times New Roman" w:hAnsi="Times New Roman"/>
        </w:rPr>
        <w:t xml:space="preserve"> </w:t>
      </w:r>
      <w:r w:rsidR="00933C6E">
        <w:rPr>
          <w:rFonts w:ascii="Times New Roman" w:hAnsi="Times New Roman"/>
        </w:rPr>
        <w:t xml:space="preserve">Viviendas Construidas Completas: </w:t>
      </w:r>
      <w:r w:rsidR="00933C6E" w:rsidRPr="00AC6BF9">
        <w:rPr>
          <w:rFonts w:ascii="Times New Roman" w:hAnsi="Times New Roman"/>
          <w:b/>
        </w:rPr>
        <w:t>707</w:t>
      </w:r>
      <w:r w:rsidR="00933C6E">
        <w:rPr>
          <w:rFonts w:ascii="Times New Roman" w:hAnsi="Times New Roman"/>
        </w:rPr>
        <w:t xml:space="preserve"> (piso, paredes y techo), Viviendas Reparadas por Componentes: </w:t>
      </w:r>
      <w:r w:rsidR="00933C6E" w:rsidRPr="00AC6BF9">
        <w:rPr>
          <w:rFonts w:ascii="Times New Roman" w:hAnsi="Times New Roman"/>
          <w:b/>
        </w:rPr>
        <w:t>1,459</w:t>
      </w:r>
      <w:r w:rsidR="00933C6E">
        <w:rPr>
          <w:rFonts w:ascii="Times New Roman" w:hAnsi="Times New Roman"/>
        </w:rPr>
        <w:t xml:space="preserve"> </w:t>
      </w:r>
      <w:r w:rsidR="00933C6E">
        <w:rPr>
          <w:rFonts w:ascii="Times New Roman" w:hAnsi="Times New Roman"/>
        </w:rPr>
        <w:lastRenderedPageBreak/>
        <w:t>(zinc, madera, puertas, ventanas y otras)</w:t>
      </w:r>
      <w:r w:rsidR="00AC6BF9">
        <w:rPr>
          <w:rFonts w:ascii="Times New Roman" w:hAnsi="Times New Roman"/>
        </w:rPr>
        <w:t>, Cambio</w:t>
      </w:r>
      <w:r w:rsidR="00933C6E">
        <w:rPr>
          <w:rFonts w:ascii="Times New Roman" w:hAnsi="Times New Roman"/>
        </w:rPr>
        <w:t xml:space="preserve"> de Piso de Tierra por Piso de Cemento: </w:t>
      </w:r>
      <w:r w:rsidR="00933C6E" w:rsidRPr="00AC6BF9">
        <w:rPr>
          <w:rFonts w:ascii="Times New Roman" w:hAnsi="Times New Roman"/>
          <w:b/>
        </w:rPr>
        <w:t>732</w:t>
      </w:r>
      <w:r w:rsidR="00933C6E">
        <w:rPr>
          <w:rFonts w:ascii="Times New Roman" w:hAnsi="Times New Roman"/>
        </w:rPr>
        <w:t xml:space="preserve"> y</w:t>
      </w:r>
      <w:r w:rsidR="0086117D">
        <w:rPr>
          <w:rFonts w:ascii="Times New Roman" w:hAnsi="Times New Roman"/>
        </w:rPr>
        <w:t xml:space="preserve"> las</w:t>
      </w:r>
      <w:r w:rsidR="00933C6E">
        <w:rPr>
          <w:rFonts w:ascii="Times New Roman" w:hAnsi="Times New Roman"/>
        </w:rPr>
        <w:t xml:space="preserve"> Unidades de Servicios Sanitarios: </w:t>
      </w:r>
      <w:r w:rsidR="00933C6E" w:rsidRPr="00AC6BF9">
        <w:rPr>
          <w:rFonts w:ascii="Times New Roman" w:hAnsi="Times New Roman"/>
          <w:b/>
        </w:rPr>
        <w:t>896</w:t>
      </w:r>
    </w:p>
    <w:p w:rsidR="00720660" w:rsidRDefault="00933C6E" w:rsidP="00CC09D9">
      <w:pPr>
        <w:pStyle w:val="Textoindependiente"/>
        <w:spacing w:line="480" w:lineRule="auto"/>
        <w:contextualSpacing/>
        <w:rPr>
          <w:rFonts w:ascii="Times New Roman" w:hAnsi="Times New Roman"/>
          <w:b/>
        </w:rPr>
      </w:pPr>
      <w:r>
        <w:rPr>
          <w:rFonts w:ascii="Times New Roman" w:hAnsi="Times New Roman"/>
          <w:b/>
        </w:rPr>
        <w:t>METAS PRESIDENCIALES</w:t>
      </w:r>
      <w:r w:rsidR="00C626DB">
        <w:rPr>
          <w:rFonts w:ascii="Times New Roman" w:hAnsi="Times New Roman"/>
          <w:b/>
        </w:rPr>
        <w:t>:</w:t>
      </w:r>
    </w:p>
    <w:p w:rsidR="00EE5B7D" w:rsidRPr="00AC6BF9" w:rsidRDefault="00757D8D" w:rsidP="00CC09D9">
      <w:pPr>
        <w:pStyle w:val="Textoindependiente"/>
        <w:spacing w:line="480" w:lineRule="auto"/>
        <w:contextualSpacing/>
        <w:rPr>
          <w:rFonts w:ascii="Times New Roman" w:hAnsi="Times New Roman"/>
        </w:rPr>
      </w:pPr>
      <w:r w:rsidRPr="00AC6BF9">
        <w:rPr>
          <w:rFonts w:ascii="Times New Roman" w:hAnsi="Times New Roman"/>
        </w:rPr>
        <w:t>Durante</w:t>
      </w:r>
      <w:r w:rsidR="00720660" w:rsidRPr="00AC6BF9">
        <w:rPr>
          <w:rFonts w:ascii="Times New Roman" w:hAnsi="Times New Roman"/>
        </w:rPr>
        <w:t xml:space="preserve"> este</w:t>
      </w:r>
      <w:r w:rsidR="00C626DB">
        <w:rPr>
          <w:rFonts w:ascii="Times New Roman" w:hAnsi="Times New Roman"/>
        </w:rPr>
        <w:t xml:space="preserve"> período enero-j</w:t>
      </w:r>
      <w:r w:rsidR="00EE5B7D" w:rsidRPr="00AC6BF9">
        <w:rPr>
          <w:rFonts w:ascii="Times New Roman" w:hAnsi="Times New Roman"/>
        </w:rPr>
        <w:t>unio</w:t>
      </w:r>
      <w:r w:rsidR="00720660" w:rsidRPr="00AC6BF9">
        <w:rPr>
          <w:rFonts w:ascii="Times New Roman" w:hAnsi="Times New Roman"/>
        </w:rPr>
        <w:t xml:space="preserve"> 2017 los </w:t>
      </w:r>
      <w:r w:rsidR="00EE5B7D" w:rsidRPr="00AC6BF9">
        <w:rPr>
          <w:rFonts w:ascii="Times New Roman" w:hAnsi="Times New Roman"/>
        </w:rPr>
        <w:t>logros acumulados</w:t>
      </w:r>
      <w:r w:rsidR="00FA1958" w:rsidRPr="00AC6BF9">
        <w:rPr>
          <w:rFonts w:ascii="Times New Roman" w:hAnsi="Times New Roman"/>
        </w:rPr>
        <w:t xml:space="preserve"> en</w:t>
      </w:r>
      <w:r w:rsidR="0086117D">
        <w:rPr>
          <w:rFonts w:ascii="Times New Roman" w:hAnsi="Times New Roman"/>
        </w:rPr>
        <w:t xml:space="preserve"> las </w:t>
      </w:r>
      <w:r w:rsidR="00FA1958" w:rsidRPr="00AC6BF9">
        <w:rPr>
          <w:rFonts w:ascii="Times New Roman" w:hAnsi="Times New Roman"/>
        </w:rPr>
        <w:t xml:space="preserve"> metas presidenciales </w:t>
      </w:r>
      <w:r w:rsidR="00EE5B7D" w:rsidRPr="00AC6BF9">
        <w:rPr>
          <w:rFonts w:ascii="Times New Roman" w:hAnsi="Times New Roman"/>
        </w:rPr>
        <w:t xml:space="preserve"> fueron</w:t>
      </w:r>
      <w:r w:rsidR="00933C6E" w:rsidRPr="00AC6BF9">
        <w:rPr>
          <w:rFonts w:ascii="Times New Roman" w:hAnsi="Times New Roman"/>
        </w:rPr>
        <w:t xml:space="preserve"> los siguientes</w:t>
      </w:r>
      <w:r w:rsidR="00EE5B7D" w:rsidRPr="00AC6BF9">
        <w:rPr>
          <w:rFonts w:ascii="Times New Roman" w:hAnsi="Times New Roman"/>
        </w:rPr>
        <w:t xml:space="preserve">: </w:t>
      </w:r>
    </w:p>
    <w:p w:rsidR="00EE5B7D" w:rsidRDefault="00EE5B7D" w:rsidP="00CC09D9">
      <w:pPr>
        <w:pStyle w:val="Textoindependiente"/>
        <w:spacing w:line="480" w:lineRule="auto"/>
        <w:contextualSpacing/>
        <w:rPr>
          <w:rFonts w:ascii="Times New Roman" w:hAnsi="Times New Roman"/>
        </w:rPr>
      </w:pPr>
      <w:r>
        <w:rPr>
          <w:rFonts w:ascii="Times New Roman" w:hAnsi="Times New Roman"/>
        </w:rPr>
        <w:t xml:space="preserve">Viviendas </w:t>
      </w:r>
      <w:r w:rsidR="00FE5028">
        <w:rPr>
          <w:rFonts w:ascii="Times New Roman" w:hAnsi="Times New Roman"/>
        </w:rPr>
        <w:t>Construidas C</w:t>
      </w:r>
      <w:r>
        <w:rPr>
          <w:rFonts w:ascii="Times New Roman" w:hAnsi="Times New Roman"/>
        </w:rPr>
        <w:t xml:space="preserve">ompletas: </w:t>
      </w:r>
      <w:r w:rsidRPr="00DC5DFC">
        <w:rPr>
          <w:rFonts w:ascii="Times New Roman" w:hAnsi="Times New Roman"/>
          <w:b/>
        </w:rPr>
        <w:t>707</w:t>
      </w:r>
      <w:r>
        <w:rPr>
          <w:rFonts w:ascii="Times New Roman" w:hAnsi="Times New Roman"/>
        </w:rPr>
        <w:t xml:space="preserve"> (piso, paredes y techo).</w:t>
      </w:r>
    </w:p>
    <w:p w:rsidR="00EE5B7D" w:rsidRDefault="00EE5B7D" w:rsidP="00CC09D9">
      <w:pPr>
        <w:pStyle w:val="Textoindependiente"/>
        <w:spacing w:line="480" w:lineRule="auto"/>
        <w:contextualSpacing/>
        <w:rPr>
          <w:rFonts w:ascii="Times New Roman" w:hAnsi="Times New Roman"/>
        </w:rPr>
      </w:pPr>
      <w:r>
        <w:rPr>
          <w:rFonts w:ascii="Times New Roman" w:hAnsi="Times New Roman"/>
        </w:rPr>
        <w:t>Viviend</w:t>
      </w:r>
      <w:r w:rsidR="00FE5028">
        <w:rPr>
          <w:rFonts w:ascii="Times New Roman" w:hAnsi="Times New Roman"/>
        </w:rPr>
        <w:t>as Reparadas por C</w:t>
      </w:r>
      <w:r>
        <w:rPr>
          <w:rFonts w:ascii="Times New Roman" w:hAnsi="Times New Roman"/>
        </w:rPr>
        <w:t xml:space="preserve">omponentes: </w:t>
      </w:r>
      <w:r w:rsidRPr="00DC5DFC">
        <w:rPr>
          <w:rFonts w:ascii="Times New Roman" w:hAnsi="Times New Roman"/>
          <w:b/>
        </w:rPr>
        <w:t>1,459</w:t>
      </w:r>
      <w:r>
        <w:rPr>
          <w:rFonts w:ascii="Times New Roman" w:hAnsi="Times New Roman"/>
        </w:rPr>
        <w:t xml:space="preserve"> (zinc, madera, puertas, ventanas y otras).</w:t>
      </w:r>
    </w:p>
    <w:p w:rsidR="00FE5028" w:rsidRDefault="00FE5028" w:rsidP="00CC09D9">
      <w:pPr>
        <w:pStyle w:val="Textoindependiente"/>
        <w:spacing w:line="480" w:lineRule="auto"/>
        <w:contextualSpacing/>
        <w:rPr>
          <w:rFonts w:ascii="Times New Roman" w:hAnsi="Times New Roman"/>
        </w:rPr>
      </w:pPr>
      <w:r>
        <w:rPr>
          <w:rFonts w:ascii="Times New Roman" w:hAnsi="Times New Roman"/>
        </w:rPr>
        <w:t>Cambio de Piso de Tierra por Piso de Cemento</w:t>
      </w:r>
      <w:r w:rsidR="00AA3256">
        <w:rPr>
          <w:rFonts w:ascii="Times New Roman" w:hAnsi="Times New Roman"/>
        </w:rPr>
        <w:t xml:space="preserve">: </w:t>
      </w:r>
      <w:r w:rsidR="00AA3256" w:rsidRPr="00DC5DFC">
        <w:rPr>
          <w:rFonts w:ascii="Times New Roman" w:hAnsi="Times New Roman"/>
          <w:b/>
        </w:rPr>
        <w:t>732</w:t>
      </w:r>
    </w:p>
    <w:p w:rsidR="00ED1E67" w:rsidRPr="00321B3F" w:rsidRDefault="00AA3256" w:rsidP="007A42E1">
      <w:pPr>
        <w:pStyle w:val="Textoindependiente"/>
        <w:spacing w:line="480" w:lineRule="auto"/>
        <w:contextualSpacing/>
        <w:rPr>
          <w:rFonts w:ascii="Times New Roman" w:hAnsi="Times New Roman"/>
        </w:rPr>
      </w:pPr>
      <w:r>
        <w:rPr>
          <w:rFonts w:ascii="Times New Roman" w:hAnsi="Times New Roman"/>
        </w:rPr>
        <w:t xml:space="preserve">Unidades de Servicios Sanitarios: </w:t>
      </w:r>
      <w:r w:rsidRPr="00DC5DFC">
        <w:rPr>
          <w:rFonts w:ascii="Times New Roman" w:hAnsi="Times New Roman"/>
          <w:b/>
        </w:rPr>
        <w:t>896</w:t>
      </w:r>
      <w:r w:rsidR="007A42E1" w:rsidRPr="007A42E1">
        <w:rPr>
          <w:rFonts w:ascii="Times New Roman" w:hAnsi="Times New Roman"/>
        </w:rPr>
        <w:t xml:space="preserve"> </w:t>
      </w:r>
    </w:p>
    <w:p w:rsidR="00BA3DFD" w:rsidRDefault="00BA3DFD" w:rsidP="007A42E1">
      <w:pPr>
        <w:pStyle w:val="Textoindependiente"/>
        <w:spacing w:line="480" w:lineRule="auto"/>
        <w:contextualSpacing/>
        <w:rPr>
          <w:rFonts w:ascii="Times New Roman" w:hAnsi="Times New Roman"/>
          <w:b/>
        </w:rPr>
      </w:pPr>
    </w:p>
    <w:p w:rsidR="007A42E1" w:rsidRPr="007A42E1" w:rsidRDefault="007A42E1" w:rsidP="007A42E1">
      <w:pPr>
        <w:pStyle w:val="Textoindependiente"/>
        <w:spacing w:line="480" w:lineRule="auto"/>
        <w:contextualSpacing/>
        <w:rPr>
          <w:rFonts w:ascii="Times New Roman" w:hAnsi="Times New Roman"/>
          <w:b/>
        </w:rPr>
      </w:pPr>
      <w:r w:rsidRPr="007A42E1">
        <w:rPr>
          <w:rFonts w:ascii="Times New Roman" w:hAnsi="Times New Roman"/>
          <w:b/>
        </w:rPr>
        <w:t>PROGRAMA DE TITULACION DE VIVIENDAS</w:t>
      </w:r>
      <w:r w:rsidR="00C626DB">
        <w:rPr>
          <w:rFonts w:ascii="Times New Roman" w:hAnsi="Times New Roman"/>
          <w:b/>
        </w:rPr>
        <w:t>:</w:t>
      </w:r>
    </w:p>
    <w:p w:rsidR="00A2609B" w:rsidRDefault="007A42E1" w:rsidP="00A2609B">
      <w:pPr>
        <w:pStyle w:val="Textoindependiente"/>
        <w:spacing w:line="480" w:lineRule="auto"/>
        <w:contextualSpacing/>
        <w:rPr>
          <w:rFonts w:ascii="Times New Roman" w:hAnsi="Times New Roman"/>
          <w:b/>
        </w:rPr>
      </w:pPr>
      <w:r>
        <w:rPr>
          <w:rFonts w:ascii="Times New Roman" w:hAnsi="Times New Roman"/>
        </w:rPr>
        <w:t xml:space="preserve">Dentro del </w:t>
      </w:r>
      <w:r w:rsidRPr="00F41FEC">
        <w:rPr>
          <w:rFonts w:ascii="Times New Roman" w:hAnsi="Times New Roman"/>
        </w:rPr>
        <w:t xml:space="preserve"> Programa de Titulación de</w:t>
      </w:r>
      <w:r w:rsidR="0086117D">
        <w:rPr>
          <w:rFonts w:ascii="Times New Roman" w:hAnsi="Times New Roman"/>
        </w:rPr>
        <w:t xml:space="preserve"> las </w:t>
      </w:r>
      <w:r w:rsidRPr="00F41FEC">
        <w:rPr>
          <w:rFonts w:ascii="Times New Roman" w:hAnsi="Times New Roman"/>
        </w:rPr>
        <w:t xml:space="preserve"> viviendas construidas por el IN</w:t>
      </w:r>
      <w:r w:rsidR="0086117D">
        <w:rPr>
          <w:rFonts w:ascii="Times New Roman" w:hAnsi="Times New Roman"/>
        </w:rPr>
        <w:t>VI en terrenos del Estado, por este concepto</w:t>
      </w:r>
      <w:r w:rsidRPr="00F41FEC">
        <w:rPr>
          <w:rFonts w:ascii="Times New Roman" w:hAnsi="Times New Roman"/>
        </w:rPr>
        <w:t xml:space="preserve"> fueron gestionados</w:t>
      </w:r>
      <w:r>
        <w:rPr>
          <w:rFonts w:ascii="Times New Roman" w:hAnsi="Times New Roman"/>
        </w:rPr>
        <w:t xml:space="preserve"> y entregados  </w:t>
      </w:r>
      <w:r w:rsidRPr="00F41FEC">
        <w:rPr>
          <w:rFonts w:ascii="Times New Roman" w:hAnsi="Times New Roman"/>
        </w:rPr>
        <w:t xml:space="preserve"> </w:t>
      </w:r>
      <w:r>
        <w:rPr>
          <w:rFonts w:ascii="Times New Roman" w:hAnsi="Times New Roman"/>
        </w:rPr>
        <w:t xml:space="preserve">unos </w:t>
      </w:r>
      <w:r w:rsidRPr="00DC5DFC">
        <w:rPr>
          <w:rFonts w:ascii="Times New Roman" w:hAnsi="Times New Roman"/>
          <w:b/>
        </w:rPr>
        <w:t>444</w:t>
      </w:r>
      <w:r w:rsidRPr="00F41FEC">
        <w:rPr>
          <w:rFonts w:ascii="Times New Roman" w:hAnsi="Times New Roman"/>
        </w:rPr>
        <w:t xml:space="preserve"> Certificados de T</w:t>
      </w:r>
      <w:r>
        <w:rPr>
          <w:rFonts w:ascii="Times New Roman" w:hAnsi="Times New Roman"/>
        </w:rPr>
        <w:t>ítulos a igual número de beneficiarios</w:t>
      </w:r>
      <w:r w:rsidR="0086117D">
        <w:rPr>
          <w:rFonts w:ascii="Times New Roman" w:hAnsi="Times New Roman"/>
        </w:rPr>
        <w:t>.</w:t>
      </w:r>
      <w:r w:rsidR="00A2609B" w:rsidRPr="00A2609B">
        <w:rPr>
          <w:rFonts w:ascii="Times New Roman" w:hAnsi="Times New Roman"/>
          <w:b/>
        </w:rPr>
        <w:t xml:space="preserve"> </w:t>
      </w:r>
    </w:p>
    <w:p w:rsidR="00BA3DFD" w:rsidRDefault="00BA3DFD" w:rsidP="00A2609B">
      <w:pPr>
        <w:pStyle w:val="Textoindependiente"/>
        <w:spacing w:line="480" w:lineRule="auto"/>
        <w:contextualSpacing/>
        <w:rPr>
          <w:rFonts w:ascii="Times New Roman" w:hAnsi="Times New Roman"/>
          <w:b/>
        </w:rPr>
      </w:pPr>
    </w:p>
    <w:p w:rsidR="00A2609B" w:rsidRPr="00AC6BF9" w:rsidRDefault="00A2609B" w:rsidP="00A2609B">
      <w:pPr>
        <w:pStyle w:val="Textoindependiente"/>
        <w:spacing w:line="480" w:lineRule="auto"/>
        <w:contextualSpacing/>
        <w:rPr>
          <w:rFonts w:ascii="Times New Roman" w:hAnsi="Times New Roman"/>
          <w:b/>
        </w:rPr>
      </w:pPr>
      <w:r w:rsidRPr="00AC6BF9">
        <w:rPr>
          <w:rFonts w:ascii="Times New Roman" w:hAnsi="Times New Roman"/>
          <w:b/>
        </w:rPr>
        <w:t>PROYECTO</w:t>
      </w:r>
      <w:r w:rsidR="005650FD">
        <w:rPr>
          <w:rFonts w:ascii="Times New Roman" w:hAnsi="Times New Roman"/>
          <w:b/>
        </w:rPr>
        <w:t>S</w:t>
      </w:r>
      <w:r w:rsidRPr="00AC6BF9">
        <w:rPr>
          <w:rFonts w:ascii="Times New Roman" w:hAnsi="Times New Roman"/>
          <w:b/>
        </w:rPr>
        <w:t xml:space="preserve"> CERTIFICADOS  POR EL INVI  COMO VIVIENDAS DE BAJO COSTO</w:t>
      </w:r>
      <w:r w:rsidR="0086117D">
        <w:rPr>
          <w:rFonts w:ascii="Times New Roman" w:hAnsi="Times New Roman"/>
          <w:b/>
        </w:rPr>
        <w:t xml:space="preserve"> SEGÚN </w:t>
      </w:r>
      <w:r w:rsidRPr="00AC6BF9">
        <w:rPr>
          <w:rFonts w:ascii="Times New Roman" w:hAnsi="Times New Roman"/>
        </w:rPr>
        <w:t xml:space="preserve"> </w:t>
      </w:r>
      <w:r w:rsidRPr="00AC6BF9">
        <w:rPr>
          <w:rFonts w:ascii="Times New Roman" w:hAnsi="Times New Roman"/>
          <w:b/>
        </w:rPr>
        <w:t>LEY NO.189-11</w:t>
      </w:r>
      <w:r>
        <w:rPr>
          <w:rFonts w:ascii="Times New Roman" w:hAnsi="Times New Roman"/>
          <w:b/>
        </w:rPr>
        <w:t>,  PERIOD</w:t>
      </w:r>
      <w:r w:rsidR="0086117D">
        <w:rPr>
          <w:rFonts w:ascii="Times New Roman" w:hAnsi="Times New Roman"/>
          <w:b/>
        </w:rPr>
        <w:t>O ENERO-JUNIO 2017</w:t>
      </w:r>
      <w:r w:rsidR="00C626DB">
        <w:rPr>
          <w:rFonts w:ascii="Times New Roman" w:hAnsi="Times New Roman"/>
          <w:b/>
        </w:rPr>
        <w:t>:</w:t>
      </w:r>
    </w:p>
    <w:p w:rsidR="00321B3F" w:rsidRPr="00C626DB" w:rsidRDefault="00A2609B" w:rsidP="00CC09D9">
      <w:pPr>
        <w:pStyle w:val="Textoindependiente"/>
        <w:spacing w:line="480" w:lineRule="auto"/>
        <w:contextualSpacing/>
        <w:rPr>
          <w:rFonts w:ascii="Times New Roman" w:hAnsi="Times New Roman"/>
        </w:rPr>
      </w:pPr>
      <w:r w:rsidRPr="00F41FEC">
        <w:rPr>
          <w:rFonts w:ascii="Times New Roman" w:hAnsi="Times New Roman"/>
        </w:rPr>
        <w:t xml:space="preserve">Otra contribución </w:t>
      </w:r>
      <w:r>
        <w:rPr>
          <w:rFonts w:ascii="Times New Roman" w:hAnsi="Times New Roman"/>
        </w:rPr>
        <w:t>importante correspondiente al</w:t>
      </w:r>
      <w:r w:rsidRPr="00F41FEC">
        <w:rPr>
          <w:rFonts w:ascii="Times New Roman" w:hAnsi="Times New Roman"/>
        </w:rPr>
        <w:t xml:space="preserve">  Eje: Producción de Viviendas Dignas, es el impacto de la Ley No.189-11, mediante la cual fueron calificados </w:t>
      </w:r>
      <w:r w:rsidR="009D26F1" w:rsidRPr="009D26F1">
        <w:rPr>
          <w:rFonts w:ascii="Times New Roman" w:hAnsi="Times New Roman"/>
          <w:b/>
        </w:rPr>
        <w:t>58</w:t>
      </w:r>
      <w:r w:rsidRPr="009D26F1">
        <w:rPr>
          <w:rFonts w:ascii="Times New Roman" w:hAnsi="Times New Roman"/>
          <w:b/>
        </w:rPr>
        <w:t xml:space="preserve"> </w:t>
      </w:r>
      <w:r w:rsidRPr="00F41FEC">
        <w:rPr>
          <w:rFonts w:ascii="Times New Roman" w:hAnsi="Times New Roman"/>
        </w:rPr>
        <w:t>proyectos inmobiliarios</w:t>
      </w:r>
      <w:r>
        <w:rPr>
          <w:rFonts w:ascii="Times New Roman" w:hAnsi="Times New Roman"/>
        </w:rPr>
        <w:t xml:space="preserve"> </w:t>
      </w:r>
      <w:r w:rsidRPr="00F41FEC">
        <w:rPr>
          <w:rFonts w:ascii="Times New Roman" w:hAnsi="Times New Roman"/>
        </w:rPr>
        <w:t>como viviendas de bajo costo los cuales serán construidas por el sector privado. Estos proyectos suman un total de</w:t>
      </w:r>
      <w:r w:rsidR="009D26F1">
        <w:rPr>
          <w:rFonts w:ascii="Times New Roman" w:hAnsi="Times New Roman"/>
        </w:rPr>
        <w:t xml:space="preserve"> </w:t>
      </w:r>
      <w:r w:rsidR="009D26F1" w:rsidRPr="009D26F1">
        <w:rPr>
          <w:rFonts w:ascii="Times New Roman" w:hAnsi="Times New Roman"/>
          <w:b/>
        </w:rPr>
        <w:t>23,581</w:t>
      </w:r>
      <w:r w:rsidRPr="00F41FEC">
        <w:rPr>
          <w:rFonts w:ascii="Times New Roman" w:hAnsi="Times New Roman"/>
        </w:rPr>
        <w:t xml:space="preserve"> viviendas con una compensación</w:t>
      </w:r>
      <w:r>
        <w:rPr>
          <w:rFonts w:ascii="Times New Roman" w:hAnsi="Times New Roman"/>
        </w:rPr>
        <w:t xml:space="preserve"> </w:t>
      </w:r>
      <w:r w:rsidR="009D26F1">
        <w:rPr>
          <w:rFonts w:ascii="Times New Roman" w:hAnsi="Times New Roman"/>
        </w:rPr>
        <w:t xml:space="preserve">ascendente a </w:t>
      </w:r>
      <w:r w:rsidR="009D26F1" w:rsidRPr="009D26F1">
        <w:rPr>
          <w:rFonts w:ascii="Times New Roman" w:hAnsi="Times New Roman"/>
          <w:b/>
        </w:rPr>
        <w:t>RD$3</w:t>
      </w:r>
      <w:proofErr w:type="gramStart"/>
      <w:r w:rsidR="0086117D">
        <w:rPr>
          <w:rFonts w:ascii="Times New Roman" w:hAnsi="Times New Roman"/>
          <w:b/>
        </w:rPr>
        <w:t>,</w:t>
      </w:r>
      <w:r w:rsidR="009D26F1" w:rsidRPr="009D26F1">
        <w:rPr>
          <w:rFonts w:ascii="Times New Roman" w:hAnsi="Times New Roman"/>
          <w:b/>
        </w:rPr>
        <w:t>299</w:t>
      </w:r>
      <w:r w:rsidR="009D26F1">
        <w:rPr>
          <w:rFonts w:ascii="Times New Roman" w:hAnsi="Times New Roman"/>
          <w:b/>
        </w:rPr>
        <w:t>,</w:t>
      </w:r>
      <w:r w:rsidR="009D26F1" w:rsidRPr="009D26F1">
        <w:rPr>
          <w:rFonts w:ascii="Times New Roman" w:hAnsi="Times New Roman"/>
          <w:b/>
        </w:rPr>
        <w:t>563</w:t>
      </w:r>
      <w:r w:rsidR="009D26F1">
        <w:rPr>
          <w:rFonts w:ascii="Times New Roman" w:hAnsi="Times New Roman"/>
          <w:b/>
        </w:rPr>
        <w:t>,</w:t>
      </w:r>
      <w:r w:rsidR="009D26F1" w:rsidRPr="009D26F1">
        <w:rPr>
          <w:rFonts w:ascii="Times New Roman" w:hAnsi="Times New Roman"/>
          <w:b/>
        </w:rPr>
        <w:t>837.08</w:t>
      </w:r>
      <w:proofErr w:type="gramEnd"/>
      <w:r w:rsidR="009D26F1">
        <w:rPr>
          <w:rFonts w:ascii="Times New Roman" w:hAnsi="Times New Roman"/>
          <w:b/>
        </w:rPr>
        <w:t>.</w:t>
      </w:r>
    </w:p>
    <w:p w:rsidR="00BA3DFD" w:rsidRDefault="00BA3DFD" w:rsidP="00CC09D9">
      <w:pPr>
        <w:pStyle w:val="Textoindependiente"/>
        <w:spacing w:line="480" w:lineRule="auto"/>
        <w:contextualSpacing/>
        <w:rPr>
          <w:rFonts w:ascii="Times New Roman" w:hAnsi="Times New Roman"/>
          <w:b/>
        </w:rPr>
      </w:pPr>
    </w:p>
    <w:p w:rsidR="00BA3DFD" w:rsidRDefault="00BA3DFD" w:rsidP="00CC09D9">
      <w:pPr>
        <w:pStyle w:val="Textoindependiente"/>
        <w:spacing w:line="480" w:lineRule="auto"/>
        <w:contextualSpacing/>
        <w:rPr>
          <w:rFonts w:ascii="Times New Roman" w:hAnsi="Times New Roman"/>
          <w:b/>
        </w:rPr>
      </w:pPr>
    </w:p>
    <w:p w:rsidR="00757D8D" w:rsidRPr="0086117D" w:rsidRDefault="003F099D" w:rsidP="00CC09D9">
      <w:pPr>
        <w:pStyle w:val="Textoindependiente"/>
        <w:spacing w:line="480" w:lineRule="auto"/>
        <w:contextualSpacing/>
        <w:rPr>
          <w:rFonts w:ascii="Times New Roman" w:hAnsi="Times New Roman"/>
        </w:rPr>
      </w:pPr>
      <w:r w:rsidRPr="003F099D">
        <w:rPr>
          <w:rFonts w:ascii="Times New Roman" w:hAnsi="Times New Roman"/>
          <w:b/>
        </w:rPr>
        <w:t>FORTALECIMIENTO INSTITUCIONAL</w:t>
      </w:r>
      <w:r w:rsidR="00C626DB">
        <w:rPr>
          <w:rFonts w:ascii="Times New Roman" w:hAnsi="Times New Roman"/>
          <w:b/>
        </w:rPr>
        <w:t>:</w:t>
      </w:r>
    </w:p>
    <w:p w:rsidR="007A42E1" w:rsidRDefault="00675A2D" w:rsidP="007A42E1">
      <w:pPr>
        <w:pStyle w:val="Prrafodelista"/>
        <w:spacing w:line="480" w:lineRule="auto"/>
        <w:ind w:left="0"/>
        <w:contextualSpacing w:val="0"/>
        <w:jc w:val="both"/>
        <w:rPr>
          <w:rFonts w:ascii="Times New Roman" w:hAnsi="Times New Roman"/>
          <w:sz w:val="24"/>
          <w:szCs w:val="24"/>
        </w:rPr>
      </w:pPr>
      <w:r w:rsidRPr="00F41FEC">
        <w:rPr>
          <w:rFonts w:ascii="Times New Roman" w:hAnsi="Times New Roman"/>
          <w:sz w:val="24"/>
          <w:szCs w:val="24"/>
        </w:rPr>
        <w:t>A</w:t>
      </w:r>
      <w:r w:rsidR="000F70BB" w:rsidRPr="00F41FEC">
        <w:rPr>
          <w:rFonts w:ascii="Times New Roman" w:hAnsi="Times New Roman"/>
          <w:sz w:val="24"/>
          <w:szCs w:val="24"/>
        </w:rPr>
        <w:t xml:space="preserve">ctualmente se trabaja en </w:t>
      </w:r>
      <w:r w:rsidR="00A600FA" w:rsidRPr="00F41FEC">
        <w:rPr>
          <w:rFonts w:ascii="Times New Roman" w:hAnsi="Times New Roman"/>
          <w:sz w:val="24"/>
          <w:szCs w:val="24"/>
        </w:rPr>
        <w:t xml:space="preserve">la readecuación de la planta </w:t>
      </w:r>
      <w:r w:rsidR="0059748C" w:rsidRPr="00F41FEC">
        <w:rPr>
          <w:rFonts w:ascii="Times New Roman" w:hAnsi="Times New Roman"/>
          <w:sz w:val="24"/>
          <w:szCs w:val="24"/>
        </w:rPr>
        <w:t>física</w:t>
      </w:r>
      <w:r w:rsidR="000F70BB" w:rsidRPr="00F41FEC">
        <w:rPr>
          <w:rFonts w:ascii="Times New Roman" w:hAnsi="Times New Roman"/>
          <w:sz w:val="24"/>
          <w:szCs w:val="24"/>
        </w:rPr>
        <w:t xml:space="preserve"> de la institución con el fin de brindar un mejor servicio a la ciudadanía</w:t>
      </w:r>
      <w:r w:rsidRPr="00F41FEC">
        <w:rPr>
          <w:rFonts w:ascii="Times New Roman" w:hAnsi="Times New Roman"/>
          <w:sz w:val="24"/>
          <w:szCs w:val="24"/>
        </w:rPr>
        <w:t>.</w:t>
      </w:r>
      <w:r w:rsidR="00526A2C" w:rsidRPr="00F41FEC">
        <w:rPr>
          <w:rFonts w:ascii="Times New Roman" w:hAnsi="Times New Roman"/>
          <w:sz w:val="24"/>
          <w:szCs w:val="24"/>
        </w:rPr>
        <w:t xml:space="preserve"> También continuamos dándole seguimiento al cumplimiento de las Normas</w:t>
      </w:r>
      <w:r w:rsidR="005650FD">
        <w:rPr>
          <w:rFonts w:ascii="Times New Roman" w:hAnsi="Times New Roman"/>
          <w:sz w:val="24"/>
          <w:szCs w:val="24"/>
        </w:rPr>
        <w:t xml:space="preserve"> </w:t>
      </w:r>
      <w:r w:rsidR="00C626DB">
        <w:rPr>
          <w:rFonts w:ascii="Times New Roman" w:hAnsi="Times New Roman"/>
          <w:sz w:val="24"/>
          <w:szCs w:val="24"/>
        </w:rPr>
        <w:t xml:space="preserve">Básicas de Control Interno (NOBACI) </w:t>
      </w:r>
      <w:r w:rsidRPr="00F41FEC">
        <w:rPr>
          <w:rFonts w:ascii="Times New Roman" w:hAnsi="Times New Roman"/>
          <w:sz w:val="24"/>
          <w:szCs w:val="24"/>
        </w:rPr>
        <w:t>y</w:t>
      </w:r>
      <w:r w:rsidR="00526A2C" w:rsidRPr="00F41FEC">
        <w:rPr>
          <w:rFonts w:ascii="Times New Roman" w:hAnsi="Times New Roman"/>
          <w:sz w:val="24"/>
          <w:szCs w:val="24"/>
        </w:rPr>
        <w:t xml:space="preserve"> Ley de Función Pública.</w:t>
      </w:r>
    </w:p>
    <w:p w:rsidR="00AA1963" w:rsidRPr="007A42E1" w:rsidRDefault="00A35E62" w:rsidP="007A42E1">
      <w:pPr>
        <w:pStyle w:val="Prrafodelista"/>
        <w:spacing w:line="480" w:lineRule="auto"/>
        <w:ind w:left="0"/>
        <w:contextualSpacing w:val="0"/>
        <w:jc w:val="both"/>
        <w:rPr>
          <w:rFonts w:ascii="Times New Roman" w:hAnsi="Times New Roman"/>
          <w:sz w:val="24"/>
          <w:szCs w:val="24"/>
        </w:rPr>
      </w:pPr>
      <w:r w:rsidRPr="00F41FEC">
        <w:rPr>
          <w:rFonts w:ascii="Times New Roman" w:hAnsi="Times New Roman"/>
        </w:rPr>
        <w:t>En lo que corresponde a</w:t>
      </w:r>
      <w:r w:rsidR="00675A2D" w:rsidRPr="00F41FEC">
        <w:rPr>
          <w:rFonts w:ascii="Times New Roman" w:hAnsi="Times New Roman"/>
        </w:rPr>
        <w:t>l Eje:</w:t>
      </w:r>
      <w:r w:rsidR="006E3A9D">
        <w:rPr>
          <w:rFonts w:ascii="Times New Roman" w:hAnsi="Times New Roman"/>
        </w:rPr>
        <w:t xml:space="preserve"> </w:t>
      </w:r>
      <w:r w:rsidRPr="00F41FEC">
        <w:rPr>
          <w:rFonts w:ascii="Times New Roman" w:hAnsi="Times New Roman"/>
        </w:rPr>
        <w:t>Ética, Trans</w:t>
      </w:r>
      <w:r w:rsidR="00B47492" w:rsidRPr="00F41FEC">
        <w:rPr>
          <w:rFonts w:ascii="Times New Roman" w:hAnsi="Times New Roman"/>
        </w:rPr>
        <w:t>parencia y Rendición de Cuentas, l</w:t>
      </w:r>
      <w:r w:rsidR="008737CD" w:rsidRPr="00F41FEC">
        <w:rPr>
          <w:rFonts w:ascii="Times New Roman" w:hAnsi="Times New Roman"/>
        </w:rPr>
        <w:t>a institución</w:t>
      </w:r>
      <w:r w:rsidR="00735D2C" w:rsidRPr="00F41FEC">
        <w:rPr>
          <w:rFonts w:ascii="Times New Roman" w:hAnsi="Times New Roman"/>
        </w:rPr>
        <w:t xml:space="preserve"> cuenta con la</w:t>
      </w:r>
      <w:r w:rsidR="00CC09D9">
        <w:rPr>
          <w:rFonts w:ascii="Times New Roman" w:hAnsi="Times New Roman"/>
        </w:rPr>
        <w:t xml:space="preserve"> </w:t>
      </w:r>
      <w:r w:rsidR="00C062A0" w:rsidRPr="00F41FEC">
        <w:rPr>
          <w:rFonts w:ascii="Times New Roman" w:hAnsi="Times New Roman"/>
        </w:rPr>
        <w:t>Oficina de Libre Acceso a la Información</w:t>
      </w:r>
      <w:r w:rsidR="003B09C3" w:rsidRPr="00F41FEC">
        <w:rPr>
          <w:rFonts w:ascii="Times New Roman" w:hAnsi="Times New Roman"/>
        </w:rPr>
        <w:t xml:space="preserve"> según lo establece la Ley No.200-04, </w:t>
      </w:r>
      <w:r w:rsidR="00C062A0" w:rsidRPr="00F41FEC">
        <w:rPr>
          <w:rFonts w:ascii="Times New Roman" w:hAnsi="Times New Roman"/>
        </w:rPr>
        <w:t>donde fueron</w:t>
      </w:r>
      <w:r w:rsidR="00AA1963">
        <w:rPr>
          <w:rFonts w:ascii="Times New Roman" w:hAnsi="Times New Roman"/>
        </w:rPr>
        <w:t xml:space="preserve"> recibidas y</w:t>
      </w:r>
      <w:r w:rsidR="00C062A0" w:rsidRPr="00F41FEC">
        <w:rPr>
          <w:rFonts w:ascii="Times New Roman" w:hAnsi="Times New Roman"/>
        </w:rPr>
        <w:t xml:space="preserve"> respondidas</w:t>
      </w:r>
      <w:r w:rsidR="00AA1963">
        <w:rPr>
          <w:rFonts w:ascii="Times New Roman" w:hAnsi="Times New Roman"/>
        </w:rPr>
        <w:t xml:space="preserve"> durante el semestre enero junio </w:t>
      </w:r>
      <w:r w:rsidR="00C062A0" w:rsidRPr="00F41FEC">
        <w:rPr>
          <w:rFonts w:ascii="Times New Roman" w:hAnsi="Times New Roman"/>
        </w:rPr>
        <w:t xml:space="preserve"> </w:t>
      </w:r>
      <w:r w:rsidR="00AA1963" w:rsidRPr="00AA1963">
        <w:rPr>
          <w:rFonts w:ascii="Times New Roman" w:hAnsi="Times New Roman"/>
        </w:rPr>
        <w:t>27</w:t>
      </w:r>
      <w:r w:rsidR="00C062A0" w:rsidRPr="00F41FEC">
        <w:rPr>
          <w:rFonts w:ascii="Times New Roman" w:hAnsi="Times New Roman"/>
        </w:rPr>
        <w:t xml:space="preserve"> solicitudes de información</w:t>
      </w:r>
      <w:r w:rsidR="003B09C3" w:rsidRPr="00F41FEC">
        <w:rPr>
          <w:rFonts w:ascii="Times New Roman" w:hAnsi="Times New Roman"/>
        </w:rPr>
        <w:t xml:space="preserve"> a ciudadanos y ciudadanas</w:t>
      </w:r>
      <w:r w:rsidR="007B19E7">
        <w:rPr>
          <w:rFonts w:ascii="Times New Roman" w:hAnsi="Times New Roman"/>
        </w:rPr>
        <w:t>.</w:t>
      </w:r>
    </w:p>
    <w:p w:rsidR="00D51FCA" w:rsidRDefault="007B19E7" w:rsidP="00735D2C">
      <w:pPr>
        <w:pStyle w:val="Textoindependiente"/>
        <w:spacing w:line="480" w:lineRule="auto"/>
        <w:contextualSpacing/>
        <w:rPr>
          <w:rFonts w:ascii="Times New Roman" w:hAnsi="Times New Roman"/>
        </w:rPr>
      </w:pPr>
      <w:r>
        <w:rPr>
          <w:rFonts w:ascii="Times New Roman" w:hAnsi="Times New Roman"/>
        </w:rPr>
        <w:t xml:space="preserve"> También estamos trabajando el </w:t>
      </w:r>
      <w:r w:rsidR="00735D2C" w:rsidRPr="00F41FEC">
        <w:rPr>
          <w:rFonts w:ascii="Times New Roman" w:hAnsi="Times New Roman"/>
        </w:rPr>
        <w:t xml:space="preserve"> portal Web creado bajo lineamientos de la Oficina Presidencial de la Tecnología de la Información y Comunicación (OPTIC). </w:t>
      </w:r>
      <w:r w:rsidR="00294A19" w:rsidRPr="00F41FEC">
        <w:rPr>
          <w:rFonts w:ascii="Times New Roman" w:hAnsi="Times New Roman"/>
        </w:rPr>
        <w:t>De esa misma</w:t>
      </w:r>
      <w:r w:rsidR="00E152D9" w:rsidRPr="00F41FEC">
        <w:rPr>
          <w:rFonts w:ascii="Times New Roman" w:hAnsi="Times New Roman"/>
        </w:rPr>
        <w:t xml:space="preserve"> forma continuamos la</w:t>
      </w:r>
      <w:r w:rsidR="00A35E62" w:rsidRPr="00F41FEC">
        <w:rPr>
          <w:rFonts w:ascii="Times New Roman" w:hAnsi="Times New Roman"/>
        </w:rPr>
        <w:t xml:space="preserve"> implementación de las</w:t>
      </w:r>
      <w:r w:rsidR="00BA3DFD">
        <w:rPr>
          <w:rFonts w:ascii="Times New Roman" w:hAnsi="Times New Roman"/>
        </w:rPr>
        <w:t xml:space="preserve"> </w:t>
      </w:r>
      <w:r w:rsidR="00BA3DFD" w:rsidRPr="00F41FEC">
        <w:rPr>
          <w:rFonts w:ascii="Times New Roman" w:hAnsi="Times New Roman"/>
        </w:rPr>
        <w:t>Normas</w:t>
      </w:r>
      <w:r w:rsidR="00BA3DFD">
        <w:rPr>
          <w:rFonts w:ascii="Times New Roman" w:hAnsi="Times New Roman"/>
        </w:rPr>
        <w:t xml:space="preserve"> Básicas de Control Interno (NOBACI</w:t>
      </w:r>
      <w:r w:rsidR="00383588">
        <w:rPr>
          <w:rFonts w:ascii="Times New Roman" w:hAnsi="Times New Roman"/>
        </w:rPr>
        <w:t>)</w:t>
      </w:r>
      <w:r w:rsidR="00BA3DFD" w:rsidRPr="00F41FEC">
        <w:rPr>
          <w:rFonts w:ascii="Times New Roman" w:hAnsi="Times New Roman"/>
        </w:rPr>
        <w:t xml:space="preserve"> </w:t>
      </w:r>
      <w:r w:rsidR="00A35E62" w:rsidRPr="00F41FEC">
        <w:rPr>
          <w:rFonts w:ascii="Times New Roman" w:hAnsi="Times New Roman"/>
        </w:rPr>
        <w:t xml:space="preserve">como establece la Ley Núm. 10-07 del Sistema Nacional de Control Interno de la Contraloría General de la República. De igual manera se sigue con el proceso para el cumplimiento de Función Pública, según instituye la Ley Núm. 41-08, avanzando en la actualización de la estructura organizacional y la actualización de los </w:t>
      </w:r>
      <w:r w:rsidR="002C636C">
        <w:rPr>
          <w:rFonts w:ascii="Times New Roman" w:hAnsi="Times New Roman"/>
        </w:rPr>
        <w:t xml:space="preserve">manuales de </w:t>
      </w:r>
      <w:r w:rsidR="00232968">
        <w:rPr>
          <w:rFonts w:ascii="Times New Roman" w:hAnsi="Times New Roman"/>
        </w:rPr>
        <w:t>función</w:t>
      </w:r>
      <w:r w:rsidR="00A35E62" w:rsidRPr="00F41FEC">
        <w:rPr>
          <w:rFonts w:ascii="Times New Roman" w:hAnsi="Times New Roman"/>
        </w:rPr>
        <w:t xml:space="preserve"> y de procesos, con el acompañamiento del Ministerio de Administración Pública (MAP).</w:t>
      </w:r>
      <w:r w:rsidR="00CC09D9">
        <w:rPr>
          <w:rFonts w:ascii="Times New Roman" w:hAnsi="Times New Roman"/>
        </w:rPr>
        <w:t xml:space="preserve"> </w:t>
      </w:r>
      <w:r w:rsidR="00A35E62" w:rsidRPr="00F41FEC">
        <w:rPr>
          <w:rFonts w:ascii="Times New Roman" w:hAnsi="Times New Roman"/>
        </w:rPr>
        <w:t xml:space="preserve">Como parte de la Gestión de transparencia y seguimiento a las Metas Presidenciales, continuamos dando seguimiento al Sistema de Gestión para la Gobernabilidad (SIGOB). Igualmente al registro del Índice de Transparencia de la Dirección General de Ética e Integración Gubernamental, al </w:t>
      </w:r>
      <w:r w:rsidR="00BA3EC3" w:rsidRPr="00F41FEC">
        <w:rPr>
          <w:rFonts w:ascii="Times New Roman" w:hAnsi="Times New Roman"/>
        </w:rPr>
        <w:t>Índice</w:t>
      </w:r>
      <w:r w:rsidR="00A35E62" w:rsidRPr="00F41FEC">
        <w:rPr>
          <w:rFonts w:ascii="Times New Roman" w:hAnsi="Times New Roman"/>
        </w:rPr>
        <w:t xml:space="preserve"> de Tecnología de la Información y Comunicación (TIC). Así mismo continuamos</w:t>
      </w:r>
      <w:r w:rsidR="002C636C">
        <w:rPr>
          <w:rFonts w:ascii="Times New Roman" w:hAnsi="Times New Roman"/>
        </w:rPr>
        <w:t xml:space="preserve"> con</w:t>
      </w:r>
      <w:r w:rsidR="00A35E62" w:rsidRPr="00F41FEC">
        <w:rPr>
          <w:rFonts w:ascii="Times New Roman" w:hAnsi="Times New Roman"/>
        </w:rPr>
        <w:t xml:space="preserve"> los siguientes Sistemas: Sistema de Administración de Quejas y Denuncias (OPTIC), en la evaluación de la Vinculación al Sistema 311, Sistema Nacional de Inversión Pública (SNIP), Sistema Integral</w:t>
      </w:r>
      <w:r w:rsidR="007C3F49" w:rsidRPr="00F41FEC">
        <w:rPr>
          <w:rFonts w:ascii="Times New Roman" w:hAnsi="Times New Roman"/>
        </w:rPr>
        <w:t xml:space="preserve"> de Gestión Financiera (SIGEF),</w:t>
      </w:r>
      <w:r w:rsidR="00A35E62" w:rsidRPr="00F41FEC">
        <w:rPr>
          <w:rFonts w:ascii="Times New Roman" w:hAnsi="Times New Roman"/>
        </w:rPr>
        <w:t xml:space="preserve"> la Plataforma  de Gestión del Sistema Nacional Plurianual del Sector Público (PNPSP)</w:t>
      </w:r>
      <w:r w:rsidR="00B47492" w:rsidRPr="00F41FEC">
        <w:rPr>
          <w:rFonts w:ascii="Times New Roman" w:hAnsi="Times New Roman"/>
        </w:rPr>
        <w:t>,</w:t>
      </w:r>
      <w:r w:rsidR="00A35E62" w:rsidRPr="00F41FEC">
        <w:rPr>
          <w:rFonts w:ascii="Times New Roman" w:hAnsi="Times New Roman"/>
        </w:rPr>
        <w:t xml:space="preserve"> RUTA 2.0</w:t>
      </w:r>
      <w:r w:rsidR="007C3F49" w:rsidRPr="00F41FEC">
        <w:rPr>
          <w:rFonts w:ascii="Times New Roman" w:hAnsi="Times New Roman"/>
        </w:rPr>
        <w:t xml:space="preserve"> y el Sistema de Monitoreo de la Administración </w:t>
      </w:r>
      <w:r w:rsidR="00C05126" w:rsidRPr="00F41FEC">
        <w:rPr>
          <w:rFonts w:ascii="Times New Roman" w:hAnsi="Times New Roman"/>
        </w:rPr>
        <w:t>Pública</w:t>
      </w:r>
      <w:r w:rsidR="007C3F49" w:rsidRPr="00F41FEC">
        <w:rPr>
          <w:rFonts w:ascii="Times New Roman" w:hAnsi="Times New Roman"/>
        </w:rPr>
        <w:t xml:space="preserve"> (SISMAP).</w:t>
      </w:r>
    </w:p>
    <w:p w:rsidR="00D3380C" w:rsidRDefault="00D3380C" w:rsidP="00735D2C">
      <w:pPr>
        <w:pStyle w:val="Textoindependiente"/>
        <w:spacing w:line="480" w:lineRule="auto"/>
        <w:contextualSpacing/>
        <w:rPr>
          <w:rFonts w:ascii="Times New Roman" w:hAnsi="Times New Roman"/>
        </w:rPr>
      </w:pPr>
    </w:p>
    <w:p w:rsidR="00D3380C" w:rsidRDefault="00D3380C" w:rsidP="00735D2C">
      <w:pPr>
        <w:pStyle w:val="Textoindependiente"/>
        <w:spacing w:line="480" w:lineRule="auto"/>
        <w:contextualSpacing/>
        <w:rPr>
          <w:rFonts w:ascii="Times New Roman" w:hAnsi="Times New Roman"/>
        </w:rPr>
      </w:pPr>
    </w:p>
    <w:p w:rsidR="00D3380C" w:rsidRDefault="00D3380C" w:rsidP="00735D2C">
      <w:pPr>
        <w:pStyle w:val="Textoindependiente"/>
        <w:spacing w:line="480" w:lineRule="auto"/>
        <w:contextualSpacing/>
        <w:rPr>
          <w:rFonts w:ascii="Times New Roman" w:hAnsi="Times New Roman"/>
        </w:rPr>
      </w:pPr>
    </w:p>
    <w:p w:rsidR="00D3380C" w:rsidRDefault="00D3380C" w:rsidP="00735D2C">
      <w:pPr>
        <w:pStyle w:val="Textoindependiente"/>
        <w:spacing w:line="480" w:lineRule="auto"/>
        <w:contextualSpacing/>
        <w:rPr>
          <w:rFonts w:ascii="Times New Roman" w:hAnsi="Times New Roman"/>
        </w:rPr>
      </w:pPr>
    </w:p>
    <w:p w:rsidR="00D3380C" w:rsidRDefault="00D3380C" w:rsidP="00735D2C">
      <w:pPr>
        <w:pStyle w:val="Textoindependiente"/>
        <w:spacing w:line="480" w:lineRule="auto"/>
        <w:contextualSpacing/>
        <w:rPr>
          <w:rFonts w:ascii="Times New Roman" w:hAnsi="Times New Roman"/>
        </w:rPr>
      </w:pPr>
    </w:p>
    <w:p w:rsidR="00D3380C" w:rsidRDefault="00D3380C" w:rsidP="00735D2C">
      <w:pPr>
        <w:pStyle w:val="Textoindependiente"/>
        <w:spacing w:line="480" w:lineRule="auto"/>
        <w:contextualSpacing/>
        <w:rPr>
          <w:rFonts w:ascii="Times New Roman" w:hAnsi="Times New Roman"/>
        </w:rPr>
      </w:pPr>
    </w:p>
    <w:p w:rsidR="00D3380C" w:rsidRDefault="00D3380C" w:rsidP="00735D2C">
      <w:pPr>
        <w:pStyle w:val="Textoindependiente"/>
        <w:spacing w:line="480" w:lineRule="auto"/>
        <w:contextualSpacing/>
        <w:rPr>
          <w:rFonts w:ascii="Times New Roman" w:hAnsi="Times New Roman"/>
        </w:rPr>
      </w:pPr>
    </w:p>
    <w:p w:rsidR="00D3380C" w:rsidRDefault="00D3380C" w:rsidP="00735D2C">
      <w:pPr>
        <w:pStyle w:val="Textoindependiente"/>
        <w:spacing w:line="480" w:lineRule="auto"/>
        <w:contextualSpacing/>
        <w:rPr>
          <w:rFonts w:ascii="Times New Roman" w:hAnsi="Times New Roman"/>
        </w:rPr>
      </w:pPr>
    </w:p>
    <w:p w:rsidR="00D3380C" w:rsidRDefault="00D3380C" w:rsidP="00735D2C">
      <w:pPr>
        <w:pStyle w:val="Textoindependiente"/>
        <w:spacing w:line="480" w:lineRule="auto"/>
        <w:contextualSpacing/>
        <w:rPr>
          <w:rFonts w:ascii="Times New Roman" w:hAnsi="Times New Roman"/>
        </w:rPr>
      </w:pPr>
      <w:r>
        <w:rPr>
          <w:rFonts w:ascii="Times New Roman" w:hAnsi="Times New Roman"/>
        </w:rPr>
        <w:t>PREPARADO POR:</w:t>
      </w:r>
    </w:p>
    <w:p w:rsidR="00D3380C" w:rsidRPr="00D3380C" w:rsidRDefault="00D3380C" w:rsidP="00D3380C">
      <w:pPr>
        <w:pStyle w:val="Textoindependiente"/>
        <w:spacing w:line="240" w:lineRule="auto"/>
        <w:contextualSpacing/>
        <w:rPr>
          <w:rFonts w:ascii="Times New Roman" w:hAnsi="Times New Roman"/>
          <w:b/>
        </w:rPr>
      </w:pPr>
      <w:r w:rsidRPr="00D3380C">
        <w:rPr>
          <w:rFonts w:ascii="Times New Roman" w:hAnsi="Times New Roman"/>
          <w:b/>
        </w:rPr>
        <w:t>Licda. María C. Berroa</w:t>
      </w:r>
    </w:p>
    <w:p w:rsidR="00D3380C" w:rsidRDefault="00D3380C" w:rsidP="00D3380C">
      <w:pPr>
        <w:pStyle w:val="Textoindependiente"/>
        <w:spacing w:line="240" w:lineRule="auto"/>
        <w:contextualSpacing/>
        <w:rPr>
          <w:rFonts w:ascii="Times New Roman" w:hAnsi="Times New Roman"/>
        </w:rPr>
      </w:pPr>
      <w:r>
        <w:rPr>
          <w:rFonts w:ascii="Times New Roman" w:hAnsi="Times New Roman"/>
        </w:rPr>
        <w:t>Gerencia de Planificación y Desarrollo</w:t>
      </w:r>
    </w:p>
    <w:p w:rsidR="005A7BA1" w:rsidRDefault="005A7BA1" w:rsidP="00735D2C">
      <w:pPr>
        <w:pStyle w:val="Textoindependiente"/>
        <w:spacing w:line="480" w:lineRule="auto"/>
        <w:contextualSpacing/>
        <w:rPr>
          <w:rFonts w:ascii="Times New Roman" w:hAnsi="Times New Roman"/>
        </w:rPr>
      </w:pPr>
    </w:p>
    <w:p w:rsidR="005A7BA1" w:rsidRDefault="005A7BA1" w:rsidP="00735D2C">
      <w:pPr>
        <w:pStyle w:val="Textoindependiente"/>
        <w:spacing w:line="480" w:lineRule="auto"/>
        <w:contextualSpacing/>
        <w:rPr>
          <w:rFonts w:ascii="Times New Roman" w:hAnsi="Times New Roman"/>
        </w:rPr>
      </w:pPr>
    </w:p>
    <w:p w:rsidR="00FA4871" w:rsidRDefault="00FA4871" w:rsidP="00FA4871">
      <w:pPr>
        <w:pStyle w:val="Textoindependiente"/>
        <w:spacing w:line="480" w:lineRule="auto"/>
        <w:contextualSpacing/>
        <w:rPr>
          <w:rFonts w:ascii="Times New Roman" w:hAnsi="Times New Roman"/>
        </w:rPr>
      </w:pPr>
    </w:p>
    <w:p w:rsidR="00FA4871" w:rsidRDefault="00FA4871" w:rsidP="00FA4871">
      <w:pPr>
        <w:pStyle w:val="Textoindependiente"/>
        <w:spacing w:line="480" w:lineRule="auto"/>
        <w:contextualSpacing/>
        <w:rPr>
          <w:rFonts w:ascii="Times New Roman" w:hAnsi="Times New Roman"/>
        </w:rPr>
      </w:pPr>
    </w:p>
    <w:p w:rsidR="00FA4871" w:rsidRDefault="00FA4871" w:rsidP="00FA4871">
      <w:pPr>
        <w:pStyle w:val="Textoindependiente"/>
        <w:spacing w:line="480" w:lineRule="auto"/>
        <w:contextualSpacing/>
        <w:rPr>
          <w:rFonts w:ascii="Times New Roman" w:hAnsi="Times New Roman"/>
        </w:rPr>
      </w:pPr>
    </w:p>
    <w:p w:rsidR="00FA4871" w:rsidRDefault="00FA4871" w:rsidP="00FA4871">
      <w:pPr>
        <w:pStyle w:val="Textoindependiente"/>
        <w:spacing w:line="480" w:lineRule="auto"/>
        <w:contextualSpacing/>
        <w:rPr>
          <w:rFonts w:ascii="Times New Roman" w:hAnsi="Times New Roman"/>
        </w:rPr>
      </w:pPr>
    </w:p>
    <w:p w:rsidR="00FA4871" w:rsidRDefault="00FA4871" w:rsidP="00FA4871">
      <w:pPr>
        <w:pStyle w:val="Textoindependiente"/>
        <w:spacing w:line="480" w:lineRule="auto"/>
        <w:contextualSpacing/>
        <w:rPr>
          <w:rFonts w:ascii="Times New Roman" w:hAnsi="Times New Roman"/>
        </w:rPr>
      </w:pPr>
    </w:p>
    <w:p w:rsidR="00FA4871" w:rsidRDefault="00FA4871" w:rsidP="00FA4871">
      <w:pPr>
        <w:pStyle w:val="Textoindependiente"/>
        <w:spacing w:line="480" w:lineRule="auto"/>
        <w:contextualSpacing/>
        <w:rPr>
          <w:rFonts w:ascii="Times New Roman" w:hAnsi="Times New Roman"/>
        </w:rPr>
      </w:pPr>
    </w:p>
    <w:p w:rsidR="00FA4871" w:rsidRDefault="00FA4871" w:rsidP="00FA4871">
      <w:pPr>
        <w:pStyle w:val="Textoindependiente"/>
        <w:spacing w:line="480" w:lineRule="auto"/>
        <w:contextualSpacing/>
        <w:rPr>
          <w:rFonts w:ascii="Times New Roman" w:hAnsi="Times New Roman"/>
        </w:rPr>
      </w:pPr>
    </w:p>
    <w:p w:rsidR="00FA4871" w:rsidRDefault="00FA4871" w:rsidP="00FA4871">
      <w:pPr>
        <w:pStyle w:val="Textoindependiente"/>
        <w:spacing w:line="480" w:lineRule="auto"/>
        <w:contextualSpacing/>
        <w:rPr>
          <w:rFonts w:ascii="Times New Roman" w:hAnsi="Times New Roman"/>
        </w:rPr>
      </w:pPr>
    </w:p>
    <w:p w:rsidR="00C933AE" w:rsidRDefault="00C933AE" w:rsidP="00FA4871">
      <w:pPr>
        <w:pStyle w:val="Textoindependiente"/>
        <w:spacing w:line="480" w:lineRule="auto"/>
        <w:contextualSpacing/>
        <w:rPr>
          <w:rFonts w:ascii="Times New Roman" w:hAnsi="Times New Roman"/>
        </w:rPr>
      </w:pPr>
    </w:p>
    <w:p w:rsidR="008632A3" w:rsidRDefault="008632A3" w:rsidP="00FA4871">
      <w:pPr>
        <w:pStyle w:val="Textoindependiente"/>
        <w:spacing w:line="480" w:lineRule="auto"/>
        <w:contextualSpacing/>
        <w:rPr>
          <w:rFonts w:ascii="Times New Roman" w:hAnsi="Times New Roman"/>
        </w:rPr>
      </w:pPr>
    </w:p>
    <w:p w:rsidR="002013B7" w:rsidRDefault="002013B7" w:rsidP="00FA4871">
      <w:pPr>
        <w:pStyle w:val="Textoindependiente"/>
        <w:spacing w:line="480" w:lineRule="auto"/>
        <w:contextualSpacing/>
        <w:rPr>
          <w:rFonts w:ascii="Times New Roman" w:hAnsi="Times New Roman"/>
        </w:rPr>
      </w:pPr>
      <w:r>
        <w:rPr>
          <w:rFonts w:ascii="Times New Roman" w:hAnsi="Times New Roman"/>
        </w:rPr>
        <w:t xml:space="preserve">  </w:t>
      </w:r>
    </w:p>
    <w:sectPr w:rsidR="002013B7" w:rsidSect="00627C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2D"/>
    <w:rsid w:val="000046E0"/>
    <w:rsid w:val="000058F0"/>
    <w:rsid w:val="00085065"/>
    <w:rsid w:val="000F70BB"/>
    <w:rsid w:val="0011297E"/>
    <w:rsid w:val="001402F9"/>
    <w:rsid w:val="00155307"/>
    <w:rsid w:val="001B558E"/>
    <w:rsid w:val="001B56CD"/>
    <w:rsid w:val="001D1D78"/>
    <w:rsid w:val="002013B7"/>
    <w:rsid w:val="00214A0B"/>
    <w:rsid w:val="00221E7B"/>
    <w:rsid w:val="00223C4D"/>
    <w:rsid w:val="002323F1"/>
    <w:rsid w:val="00232968"/>
    <w:rsid w:val="00251B61"/>
    <w:rsid w:val="00294A19"/>
    <w:rsid w:val="002C636C"/>
    <w:rsid w:val="002D3569"/>
    <w:rsid w:val="002D7972"/>
    <w:rsid w:val="002E4690"/>
    <w:rsid w:val="00321B3F"/>
    <w:rsid w:val="0036521B"/>
    <w:rsid w:val="003765A9"/>
    <w:rsid w:val="00383588"/>
    <w:rsid w:val="003B09C3"/>
    <w:rsid w:val="003F099D"/>
    <w:rsid w:val="00403D10"/>
    <w:rsid w:val="0048508E"/>
    <w:rsid w:val="00486595"/>
    <w:rsid w:val="004D412F"/>
    <w:rsid w:val="00515133"/>
    <w:rsid w:val="00526A2C"/>
    <w:rsid w:val="00542ED4"/>
    <w:rsid w:val="00544420"/>
    <w:rsid w:val="00552A2A"/>
    <w:rsid w:val="005650FD"/>
    <w:rsid w:val="00593B91"/>
    <w:rsid w:val="0059748C"/>
    <w:rsid w:val="005A7BA1"/>
    <w:rsid w:val="005E5D26"/>
    <w:rsid w:val="005E6DF9"/>
    <w:rsid w:val="005F4217"/>
    <w:rsid w:val="00614A02"/>
    <w:rsid w:val="006156F5"/>
    <w:rsid w:val="00627C18"/>
    <w:rsid w:val="00630435"/>
    <w:rsid w:val="006311BB"/>
    <w:rsid w:val="006361B7"/>
    <w:rsid w:val="006511B6"/>
    <w:rsid w:val="0066055B"/>
    <w:rsid w:val="0066435B"/>
    <w:rsid w:val="00664FC0"/>
    <w:rsid w:val="00667058"/>
    <w:rsid w:val="00675224"/>
    <w:rsid w:val="00675A2D"/>
    <w:rsid w:val="00683ACE"/>
    <w:rsid w:val="006D571D"/>
    <w:rsid w:val="006E3A9D"/>
    <w:rsid w:val="00706B97"/>
    <w:rsid w:val="00713C2D"/>
    <w:rsid w:val="00720660"/>
    <w:rsid w:val="0073049F"/>
    <w:rsid w:val="00734145"/>
    <w:rsid w:val="00734422"/>
    <w:rsid w:val="00735D2C"/>
    <w:rsid w:val="00757D8D"/>
    <w:rsid w:val="00763B4A"/>
    <w:rsid w:val="007813A0"/>
    <w:rsid w:val="00782D23"/>
    <w:rsid w:val="007A42E1"/>
    <w:rsid w:val="007B19E7"/>
    <w:rsid w:val="007C3F49"/>
    <w:rsid w:val="007D0DEC"/>
    <w:rsid w:val="00814B93"/>
    <w:rsid w:val="00831C52"/>
    <w:rsid w:val="00852892"/>
    <w:rsid w:val="00853295"/>
    <w:rsid w:val="0086117D"/>
    <w:rsid w:val="008632A3"/>
    <w:rsid w:val="008700C8"/>
    <w:rsid w:val="008737CD"/>
    <w:rsid w:val="00874ABF"/>
    <w:rsid w:val="0088442D"/>
    <w:rsid w:val="008F1AB5"/>
    <w:rsid w:val="008F7A5B"/>
    <w:rsid w:val="0092152E"/>
    <w:rsid w:val="00933C6E"/>
    <w:rsid w:val="00937933"/>
    <w:rsid w:val="009610AC"/>
    <w:rsid w:val="009647B5"/>
    <w:rsid w:val="00971098"/>
    <w:rsid w:val="009742B3"/>
    <w:rsid w:val="00980B66"/>
    <w:rsid w:val="00980CA5"/>
    <w:rsid w:val="009C0250"/>
    <w:rsid w:val="009C55F0"/>
    <w:rsid w:val="009D26F1"/>
    <w:rsid w:val="009F72E5"/>
    <w:rsid w:val="00A2609B"/>
    <w:rsid w:val="00A35E62"/>
    <w:rsid w:val="00A406D5"/>
    <w:rsid w:val="00A44951"/>
    <w:rsid w:val="00A571B8"/>
    <w:rsid w:val="00A600FA"/>
    <w:rsid w:val="00A849F4"/>
    <w:rsid w:val="00AA1963"/>
    <w:rsid w:val="00AA3256"/>
    <w:rsid w:val="00AC6BF9"/>
    <w:rsid w:val="00AC79BC"/>
    <w:rsid w:val="00AC7CC8"/>
    <w:rsid w:val="00B47492"/>
    <w:rsid w:val="00B55FE8"/>
    <w:rsid w:val="00B84BB8"/>
    <w:rsid w:val="00B868E3"/>
    <w:rsid w:val="00BA3DFD"/>
    <w:rsid w:val="00BA3EC3"/>
    <w:rsid w:val="00BB3EC6"/>
    <w:rsid w:val="00BD01AA"/>
    <w:rsid w:val="00BD07CB"/>
    <w:rsid w:val="00BE3B36"/>
    <w:rsid w:val="00BF76D5"/>
    <w:rsid w:val="00C05126"/>
    <w:rsid w:val="00C062A0"/>
    <w:rsid w:val="00C12C2C"/>
    <w:rsid w:val="00C1794D"/>
    <w:rsid w:val="00C626DB"/>
    <w:rsid w:val="00C70BFD"/>
    <w:rsid w:val="00C933AE"/>
    <w:rsid w:val="00CC09D9"/>
    <w:rsid w:val="00CC37D2"/>
    <w:rsid w:val="00D22B9F"/>
    <w:rsid w:val="00D3380C"/>
    <w:rsid w:val="00D51FCA"/>
    <w:rsid w:val="00D57854"/>
    <w:rsid w:val="00D63128"/>
    <w:rsid w:val="00D83D43"/>
    <w:rsid w:val="00DB1FC0"/>
    <w:rsid w:val="00DC005B"/>
    <w:rsid w:val="00DC5DFC"/>
    <w:rsid w:val="00DE4901"/>
    <w:rsid w:val="00E100EC"/>
    <w:rsid w:val="00E1235D"/>
    <w:rsid w:val="00E152D9"/>
    <w:rsid w:val="00E31155"/>
    <w:rsid w:val="00E46232"/>
    <w:rsid w:val="00E70C05"/>
    <w:rsid w:val="00E72295"/>
    <w:rsid w:val="00E77706"/>
    <w:rsid w:val="00E90A29"/>
    <w:rsid w:val="00EA4D46"/>
    <w:rsid w:val="00EC637C"/>
    <w:rsid w:val="00ED1E67"/>
    <w:rsid w:val="00ED3AA0"/>
    <w:rsid w:val="00EE5B7D"/>
    <w:rsid w:val="00EF71C1"/>
    <w:rsid w:val="00F05BE4"/>
    <w:rsid w:val="00F41FEC"/>
    <w:rsid w:val="00F42089"/>
    <w:rsid w:val="00F672D3"/>
    <w:rsid w:val="00F86635"/>
    <w:rsid w:val="00FA1958"/>
    <w:rsid w:val="00FA4871"/>
    <w:rsid w:val="00FC4A89"/>
    <w:rsid w:val="00FE5028"/>
    <w:rsid w:val="00FF1522"/>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14774-4AC6-44D2-9822-5CE87C8D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42D"/>
    <w:pPr>
      <w:spacing w:after="0" w:line="240" w:lineRule="auto"/>
    </w:pPr>
    <w:rPr>
      <w:rFonts w:ascii="Times New Roman" w:eastAsia="Times New Roman" w:hAnsi="Times New Roman" w:cs="Times New Roman"/>
      <w:sz w:val="20"/>
      <w:szCs w:val="20"/>
      <w:lang w:val="en-US"/>
    </w:rPr>
  </w:style>
  <w:style w:type="paragraph" w:styleId="Ttulo2">
    <w:name w:val="heading 2"/>
    <w:basedOn w:val="Normal"/>
    <w:next w:val="Normal"/>
    <w:link w:val="Ttulo2Car"/>
    <w:qFormat/>
    <w:rsid w:val="0088442D"/>
    <w:pPr>
      <w:keepNext/>
      <w:spacing w:before="240" w:after="60"/>
      <w:outlineLvl w:val="1"/>
    </w:pPr>
    <w:rPr>
      <w:rFonts w:ascii="Arial" w:hAnsi="Arial"/>
      <w:b/>
      <w:bCs/>
      <w:i/>
      <w:iCs/>
      <w:sz w:val="24"/>
      <w:szCs w:val="24"/>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442D"/>
    <w:rPr>
      <w:rFonts w:ascii="Arial" w:eastAsia="Times New Roman" w:hAnsi="Arial" w:cs="Times New Roman"/>
      <w:b/>
      <w:bCs/>
      <w:i/>
      <w:iCs/>
      <w:sz w:val="24"/>
      <w:szCs w:val="24"/>
    </w:rPr>
  </w:style>
  <w:style w:type="paragraph" w:styleId="Textoindependiente">
    <w:name w:val="Body Text"/>
    <w:basedOn w:val="Normal"/>
    <w:link w:val="TextoindependienteCar"/>
    <w:rsid w:val="0088442D"/>
    <w:pPr>
      <w:spacing w:line="360" w:lineRule="auto"/>
      <w:jc w:val="both"/>
    </w:pPr>
    <w:rPr>
      <w:rFonts w:ascii="Lucida Sans Unicode" w:hAnsi="Lucida Sans Unicode"/>
      <w:sz w:val="24"/>
      <w:szCs w:val="24"/>
      <w:lang w:val="es-DO"/>
    </w:rPr>
  </w:style>
  <w:style w:type="character" w:customStyle="1" w:styleId="TextoindependienteCar">
    <w:name w:val="Texto independiente Car"/>
    <w:basedOn w:val="Fuentedeprrafopredeter"/>
    <w:link w:val="Textoindependiente"/>
    <w:rsid w:val="0088442D"/>
    <w:rPr>
      <w:rFonts w:ascii="Lucida Sans Unicode" w:eastAsia="Times New Roman" w:hAnsi="Lucida Sans Unicode" w:cs="Times New Roman"/>
      <w:sz w:val="24"/>
      <w:szCs w:val="24"/>
    </w:rPr>
  </w:style>
  <w:style w:type="paragraph" w:styleId="Textoindependiente2">
    <w:name w:val="Body Text 2"/>
    <w:basedOn w:val="Normal"/>
    <w:link w:val="Textoindependiente2Car"/>
    <w:rsid w:val="0088442D"/>
    <w:pPr>
      <w:spacing w:line="480" w:lineRule="auto"/>
      <w:jc w:val="both"/>
    </w:pPr>
    <w:rPr>
      <w:rFonts w:ascii="Arial" w:hAnsi="Arial"/>
      <w:sz w:val="24"/>
      <w:szCs w:val="24"/>
      <w:lang w:val="es-MX"/>
    </w:rPr>
  </w:style>
  <w:style w:type="character" w:customStyle="1" w:styleId="Textoindependiente2Car">
    <w:name w:val="Texto independiente 2 Car"/>
    <w:basedOn w:val="Fuentedeprrafopredeter"/>
    <w:link w:val="Textoindependiente2"/>
    <w:rsid w:val="0088442D"/>
    <w:rPr>
      <w:rFonts w:ascii="Arial" w:eastAsia="Times New Roman" w:hAnsi="Arial" w:cs="Times New Roman"/>
      <w:sz w:val="24"/>
      <w:szCs w:val="24"/>
      <w:lang w:val="es-MX"/>
    </w:rPr>
  </w:style>
  <w:style w:type="paragraph" w:styleId="Prrafodelista">
    <w:name w:val="List Paragraph"/>
    <w:basedOn w:val="Normal"/>
    <w:uiPriority w:val="34"/>
    <w:qFormat/>
    <w:rsid w:val="0088442D"/>
    <w:pPr>
      <w:spacing w:after="200" w:line="276" w:lineRule="auto"/>
      <w:ind w:left="720"/>
      <w:contextualSpacing/>
    </w:pPr>
    <w:rPr>
      <w:rFonts w:ascii="Calibri" w:eastAsia="Calibri" w:hAnsi="Calibri"/>
      <w:sz w:val="22"/>
      <w:szCs w:val="22"/>
      <w:lang w:val="es-DO"/>
    </w:rPr>
  </w:style>
  <w:style w:type="paragraph" w:styleId="Textodeglobo">
    <w:name w:val="Balloon Text"/>
    <w:basedOn w:val="Normal"/>
    <w:link w:val="TextodegloboCar"/>
    <w:uiPriority w:val="99"/>
    <w:semiHidden/>
    <w:unhideWhenUsed/>
    <w:rsid w:val="0036521B"/>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21B"/>
    <w:rPr>
      <w:rFonts w:ascii="Tahoma" w:eastAsia="Times New Roman" w:hAnsi="Tahoma" w:cs="Tahoma"/>
      <w:sz w:val="16"/>
      <w:szCs w:val="16"/>
      <w:lang w:val="en-US"/>
    </w:rPr>
  </w:style>
  <w:style w:type="paragraph" w:customStyle="1" w:styleId="Normal1">
    <w:name w:val="Normal1"/>
    <w:rsid w:val="00E70C05"/>
    <w:pPr>
      <w:widowControl w:val="0"/>
    </w:pPr>
    <w:rPr>
      <w:rFonts w:ascii="Calibri" w:eastAsia="Calibri" w:hAnsi="Calibri" w:cs="Calibri"/>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219525">
      <w:bodyDiv w:val="1"/>
      <w:marLeft w:val="0"/>
      <w:marRight w:val="0"/>
      <w:marTop w:val="0"/>
      <w:marBottom w:val="0"/>
      <w:divBdr>
        <w:top w:val="none" w:sz="0" w:space="0" w:color="auto"/>
        <w:left w:val="none" w:sz="0" w:space="0" w:color="auto"/>
        <w:bottom w:val="none" w:sz="0" w:space="0" w:color="auto"/>
        <w:right w:val="none" w:sz="0" w:space="0" w:color="auto"/>
      </w:divBdr>
    </w:div>
    <w:div w:id="1081291552">
      <w:bodyDiv w:val="1"/>
      <w:marLeft w:val="0"/>
      <w:marRight w:val="0"/>
      <w:marTop w:val="0"/>
      <w:marBottom w:val="0"/>
      <w:divBdr>
        <w:top w:val="none" w:sz="0" w:space="0" w:color="auto"/>
        <w:left w:val="none" w:sz="0" w:space="0" w:color="auto"/>
        <w:bottom w:val="none" w:sz="0" w:space="0" w:color="auto"/>
        <w:right w:val="none" w:sz="0" w:space="0" w:color="auto"/>
      </w:divBdr>
    </w:div>
    <w:div w:id="14120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990</Words>
  <Characters>5448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Mberroa</dc:creator>
  <cp:lastModifiedBy>Hilcia Pérez</cp:lastModifiedBy>
  <cp:revision>2</cp:revision>
  <cp:lastPrinted>2017-09-19T13:45:00Z</cp:lastPrinted>
  <dcterms:created xsi:type="dcterms:W3CDTF">2017-09-26T14:25:00Z</dcterms:created>
  <dcterms:modified xsi:type="dcterms:W3CDTF">2017-09-26T14:25:00Z</dcterms:modified>
</cp:coreProperties>
</file>